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38037334"/>
        <w:docPartObj>
          <w:docPartGallery w:val="Cover Pages"/>
          <w:docPartUnique/>
        </w:docPartObj>
      </w:sdtPr>
      <w:sdtEndPr>
        <w:rPr>
          <w:rFonts w:cs="Times New Roman"/>
          <w:sz w:val="28"/>
        </w:rPr>
      </w:sdtEndPr>
      <w:sdtContent>
        <w:p w14:paraId="5BA4A712" w14:textId="77777777" w:rsidR="00CD367F" w:rsidRDefault="00CD367F" w:rsidP="00CD367F">
          <w:pPr>
            <w:jc w:val="center"/>
            <w:rPr>
              <w:rFonts w:cs="Times New Roman"/>
            </w:rPr>
          </w:pPr>
          <w:r>
            <w:rPr>
              <w:rFonts w:cs="Times New Roman"/>
              <w:noProof/>
            </w:rPr>
            <w:drawing>
              <wp:inline distT="0" distB="0" distL="0" distR="0" wp14:anchorId="5C351D32" wp14:editId="7CADF7EE">
                <wp:extent cx="14954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Force Logo.jpg"/>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14:paraId="56AA416B" w14:textId="77777777" w:rsidR="00CD367F" w:rsidRDefault="00CD367F" w:rsidP="00CD367F">
          <w:pPr>
            <w:jc w:val="center"/>
            <w:rPr>
              <w:rFonts w:cs="Times New Roman"/>
            </w:rPr>
          </w:pPr>
        </w:p>
        <w:p w14:paraId="5C9C8494" w14:textId="77777777" w:rsidR="00CD367F" w:rsidRPr="00071FEE" w:rsidRDefault="00B826D8" w:rsidP="00CD367F">
          <w:pPr>
            <w:jc w:val="center"/>
            <w:rPr>
              <w:rFonts w:ascii="Cambria" w:hAnsi="Cambria" w:cs="Times New Roman"/>
              <w:b/>
              <w:color w:val="4F81BD" w:themeColor="accent1"/>
              <w:sz w:val="72"/>
              <w:u w:val="single"/>
            </w:rPr>
          </w:pPr>
          <w:r>
            <w:rPr>
              <w:rFonts w:ascii="Cambria" w:hAnsi="Cambria" w:cs="Times New Roman"/>
              <w:b/>
              <w:color w:val="4F81BD" w:themeColor="accent1"/>
              <w:sz w:val="72"/>
              <w:u w:val="single"/>
            </w:rPr>
            <w:t xml:space="preserve">CONSTRUCTION </w:t>
          </w:r>
          <w:r w:rsidR="00CD367F" w:rsidRPr="00071FEE">
            <w:rPr>
              <w:rFonts w:ascii="Cambria" w:hAnsi="Cambria" w:cs="Times New Roman"/>
              <w:b/>
              <w:color w:val="4F81BD" w:themeColor="accent1"/>
              <w:sz w:val="72"/>
              <w:u w:val="single"/>
            </w:rPr>
            <w:t>STAT</w:t>
          </w:r>
          <w:r>
            <w:rPr>
              <w:rFonts w:ascii="Cambria" w:hAnsi="Cambria" w:cs="Times New Roman"/>
              <w:b/>
              <w:color w:val="4F81BD" w:themeColor="accent1"/>
              <w:sz w:val="72"/>
              <w:u w:val="single"/>
            </w:rPr>
            <w:t>E</w:t>
          </w:r>
          <w:r w:rsidR="00CD367F" w:rsidRPr="00071FEE">
            <w:rPr>
              <w:rFonts w:ascii="Cambria" w:hAnsi="Cambria" w:cs="Times New Roman"/>
              <w:b/>
              <w:color w:val="4F81BD" w:themeColor="accent1"/>
              <w:sz w:val="72"/>
              <w:u w:val="single"/>
            </w:rPr>
            <w:t>MENT OF WORK</w:t>
          </w:r>
        </w:p>
        <w:p w14:paraId="7B971261" w14:textId="77777777" w:rsidR="00CD367F" w:rsidRPr="00071FEE" w:rsidRDefault="00CD367F" w:rsidP="00CD367F">
          <w:pPr>
            <w:jc w:val="center"/>
            <w:rPr>
              <w:rFonts w:ascii="Cambria" w:hAnsi="Cambria" w:cs="Times New Roman"/>
              <w:b/>
              <w:color w:val="4F81BD" w:themeColor="accent1"/>
              <w:sz w:val="40"/>
            </w:rPr>
          </w:pPr>
        </w:p>
        <w:p w14:paraId="6DA913AA" w14:textId="77777777" w:rsidR="00406F94" w:rsidRDefault="00406F94" w:rsidP="00406F94">
          <w:pPr>
            <w:jc w:val="center"/>
            <w:rPr>
              <w:rFonts w:ascii="Cambria" w:hAnsi="Cambria" w:cs="Times New Roman"/>
              <w:b/>
              <w:color w:val="4F81BD" w:themeColor="accent1"/>
              <w:sz w:val="40"/>
            </w:rPr>
          </w:pPr>
          <w:r w:rsidRPr="00071FEE">
            <w:rPr>
              <w:rFonts w:ascii="Cambria" w:hAnsi="Cambria" w:cs="Times New Roman"/>
              <w:b/>
              <w:color w:val="4F81BD" w:themeColor="accent1"/>
              <w:sz w:val="40"/>
            </w:rPr>
            <w:t xml:space="preserve">FTFA </w:t>
          </w:r>
          <w:r>
            <w:rPr>
              <w:rFonts w:ascii="Cambria" w:hAnsi="Cambria" w:cs="Times New Roman"/>
              <w:b/>
              <w:color w:val="4F81BD" w:themeColor="accent1"/>
              <w:sz w:val="40"/>
            </w:rPr>
            <w:t>20-CB73</w:t>
          </w:r>
        </w:p>
        <w:p w14:paraId="0A64477D" w14:textId="77777777" w:rsidR="00406F94" w:rsidRPr="00071FEE" w:rsidRDefault="00406F94" w:rsidP="00406F94">
          <w:pPr>
            <w:jc w:val="center"/>
            <w:rPr>
              <w:rFonts w:ascii="Cambria" w:hAnsi="Cambria" w:cs="Times New Roman"/>
              <w:b/>
              <w:color w:val="4F81BD" w:themeColor="accent1"/>
              <w:sz w:val="40"/>
            </w:rPr>
          </w:pPr>
          <w:r>
            <w:rPr>
              <w:rFonts w:ascii="Cambria" w:hAnsi="Cambria" w:cs="Times New Roman"/>
              <w:b/>
              <w:color w:val="4F81BD" w:themeColor="accent1"/>
              <w:sz w:val="40"/>
            </w:rPr>
            <w:t xml:space="preserve">TRIRIGA ID: 1038683 </w:t>
          </w:r>
        </w:p>
        <w:p w14:paraId="44173B16" w14:textId="77777777" w:rsidR="00406F94" w:rsidRDefault="00406F94" w:rsidP="00406F94">
          <w:pPr>
            <w:jc w:val="center"/>
            <w:rPr>
              <w:rFonts w:ascii="Cambria" w:hAnsi="Cambria" w:cs="Times New Roman"/>
              <w:b/>
              <w:color w:val="4F81BD" w:themeColor="accent1"/>
              <w:sz w:val="40"/>
            </w:rPr>
          </w:pPr>
          <w:r w:rsidRPr="00725628">
            <w:rPr>
              <w:rFonts w:ascii="Cambria" w:hAnsi="Cambria" w:cs="Times New Roman"/>
              <w:b/>
              <w:color w:val="4F81BD" w:themeColor="accent1"/>
              <w:sz w:val="40"/>
            </w:rPr>
            <w:t>Renovate Squadron Operations Area JSF Hangar B1412</w:t>
          </w:r>
        </w:p>
        <w:p w14:paraId="4A428911" w14:textId="77777777" w:rsidR="00CD367F" w:rsidRPr="00406F94" w:rsidRDefault="00406F94" w:rsidP="00406F94">
          <w:pPr>
            <w:jc w:val="center"/>
            <w:rPr>
              <w:rFonts w:ascii="Cambria" w:hAnsi="Cambria" w:cs="Times New Roman"/>
              <w:b/>
              <w:color w:val="4F81BD" w:themeColor="accent1"/>
              <w:sz w:val="40"/>
            </w:rPr>
          </w:pPr>
          <w:r w:rsidRPr="00071FEE">
            <w:rPr>
              <w:rFonts w:ascii="Cambria" w:hAnsi="Cambria" w:cs="Times New Roman"/>
              <w:b/>
              <w:color w:val="4F81BD" w:themeColor="accent1"/>
              <w:sz w:val="40"/>
            </w:rPr>
            <w:t>Eglin AFB, FL</w:t>
          </w:r>
        </w:p>
        <w:p w14:paraId="7591355A" w14:textId="77777777" w:rsidR="00CD367F" w:rsidRDefault="00CD367F" w:rsidP="00CD367F">
          <w:pPr>
            <w:jc w:val="center"/>
            <w:rPr>
              <w:rFonts w:cs="Times New Roman"/>
            </w:rPr>
          </w:pPr>
          <w:r>
            <w:rPr>
              <w:noProof/>
            </w:rPr>
            <w:drawing>
              <wp:inline distT="0" distB="0" distL="0" distR="0" wp14:anchorId="390D4D76" wp14:editId="4E618634">
                <wp:extent cx="1638300" cy="1711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clrChange>
                            <a:clrFrom>
                              <a:srgbClr val="FFFFFF"/>
                            </a:clrFrom>
                            <a:clrTo>
                              <a:srgbClr val="FFFFFF">
                                <a:alpha val="0"/>
                              </a:srgbClr>
                            </a:clrTo>
                          </a:clrChange>
                          <a:extLst>
                            <a:ext uri="{BEBA8EAE-BF5A-486C-A8C5-ECC9F3942E4B}">
                              <a14:imgProps xmlns:a14="http://schemas.microsoft.com/office/drawing/2010/main">
                                <a14:imgLayer r:embed="rId11">
                                  <a14:imgEffect>
                                    <a14:saturation sat="400000"/>
                                  </a14:imgEffect>
                                </a14:imgLayer>
                              </a14:imgProps>
                            </a:ext>
                          </a:extLst>
                        </a:blip>
                        <a:stretch>
                          <a:fillRect/>
                        </a:stretch>
                      </pic:blipFill>
                      <pic:spPr>
                        <a:xfrm>
                          <a:off x="0" y="0"/>
                          <a:ext cx="1639241" cy="1712391"/>
                        </a:xfrm>
                        <a:prstGeom prst="rect">
                          <a:avLst/>
                        </a:prstGeom>
                      </pic:spPr>
                    </pic:pic>
                  </a:graphicData>
                </a:graphic>
              </wp:inline>
            </w:drawing>
          </w:r>
        </w:p>
        <w:p w14:paraId="5EB8B847" w14:textId="77777777" w:rsidR="00CD367F" w:rsidRPr="00071FEE" w:rsidRDefault="00CD367F" w:rsidP="00CD367F">
          <w:pPr>
            <w:jc w:val="center"/>
            <w:rPr>
              <w:rFonts w:ascii="Cambria" w:hAnsi="Cambria" w:cs="Times New Roman"/>
            </w:rPr>
          </w:pPr>
          <w:r w:rsidRPr="00071FEE">
            <w:rPr>
              <w:rFonts w:ascii="Cambria" w:hAnsi="Cambria" w:cs="Times New Roman"/>
            </w:rPr>
            <w:t>96th Civil Engineering Group</w:t>
          </w:r>
        </w:p>
        <w:p w14:paraId="170A975F" w14:textId="77777777" w:rsidR="00DA610A" w:rsidRDefault="00DA610A">
          <w:pPr>
            <w:sectPr w:rsidR="00DA610A" w:rsidSect="00071FEE">
              <w:headerReference w:type="default" r:id="rId12"/>
              <w:footerReference w:type="default" r:id="rId13"/>
              <w:pgSz w:w="12240" w:h="15840"/>
              <w:pgMar w:top="1440" w:right="1440" w:bottom="1440" w:left="1440" w:header="720" w:footer="720" w:gutter="0"/>
              <w:pgBorders w:display="firstPage" w:offsetFrom="page">
                <w:top w:val="thinThickSmallGap" w:sz="48" w:space="24" w:color="4F81BD" w:themeColor="accent1"/>
                <w:left w:val="thinThickSmallGap" w:sz="48" w:space="24" w:color="4F81BD" w:themeColor="accent1"/>
                <w:bottom w:val="thickThinSmallGap" w:sz="48" w:space="24" w:color="4F81BD" w:themeColor="accent1"/>
                <w:right w:val="thickThinSmallGap" w:sz="48" w:space="24" w:color="4F81BD" w:themeColor="accent1"/>
              </w:pgBorders>
              <w:pgNumType w:start="0"/>
              <w:cols w:space="720"/>
              <w:titlePg/>
              <w:docGrid w:linePitch="360"/>
            </w:sectPr>
          </w:pPr>
        </w:p>
        <w:p w14:paraId="0C5DC632" w14:textId="77777777" w:rsidR="00DA610A" w:rsidRDefault="00A7583B" w:rsidP="00DA610A">
          <w:pPr>
            <w:spacing w:after="0" w:line="240" w:lineRule="auto"/>
            <w:jc w:val="center"/>
            <w:rPr>
              <w:rFonts w:cs="Times New Roman"/>
              <w:sz w:val="28"/>
            </w:rPr>
          </w:pPr>
        </w:p>
      </w:sdtContent>
    </w:sdt>
    <w:p w14:paraId="048925DD" w14:textId="77777777" w:rsidR="00406F94" w:rsidRDefault="00406F94" w:rsidP="00406F94">
      <w:pPr>
        <w:spacing w:after="0" w:line="240" w:lineRule="auto"/>
        <w:jc w:val="center"/>
        <w:rPr>
          <w:rFonts w:cs="Times New Roman"/>
          <w:b/>
          <w:sz w:val="40"/>
        </w:rPr>
      </w:pPr>
      <w:r>
        <w:rPr>
          <w:rFonts w:cs="Times New Roman"/>
          <w:b/>
          <w:sz w:val="40"/>
        </w:rPr>
        <w:t xml:space="preserve">Renovate Squadron Operations Area JSF Hangar B1412 </w:t>
      </w:r>
    </w:p>
    <w:p w14:paraId="1C7E3D85" w14:textId="77777777" w:rsidR="00406F94" w:rsidRDefault="00406F94" w:rsidP="00406F94">
      <w:pPr>
        <w:spacing w:after="0" w:line="240" w:lineRule="auto"/>
        <w:jc w:val="center"/>
        <w:rPr>
          <w:rFonts w:cs="Times New Roman"/>
          <w:b/>
          <w:sz w:val="40"/>
        </w:rPr>
      </w:pPr>
    </w:p>
    <w:p w14:paraId="320ACD91" w14:textId="77777777" w:rsidR="00406F94" w:rsidRDefault="00406F94" w:rsidP="00406F94">
      <w:pPr>
        <w:spacing w:after="0" w:line="240" w:lineRule="auto"/>
        <w:jc w:val="center"/>
        <w:rPr>
          <w:rFonts w:cs="Times New Roman"/>
          <w:b/>
          <w:sz w:val="40"/>
        </w:rPr>
      </w:pPr>
      <w:r>
        <w:rPr>
          <w:rFonts w:cs="Times New Roman"/>
          <w:b/>
          <w:sz w:val="40"/>
        </w:rPr>
        <w:t>FTFA 20-BC73</w:t>
      </w:r>
    </w:p>
    <w:p w14:paraId="637CFAA2" w14:textId="43C3FA63" w:rsidR="00406F94" w:rsidRPr="00B84530" w:rsidRDefault="00406F94" w:rsidP="00406F94">
      <w:pPr>
        <w:spacing w:after="0" w:line="240" w:lineRule="auto"/>
        <w:jc w:val="center"/>
        <w:rPr>
          <w:rFonts w:cs="Times New Roman"/>
        </w:rPr>
      </w:pPr>
      <w:r w:rsidRPr="00B84530">
        <w:rPr>
          <w:rFonts w:cs="Times New Roman"/>
        </w:rPr>
        <w:t>Eglin CEG Drawing/Specification:</w:t>
      </w:r>
      <w:r w:rsidRPr="003F41FA">
        <w:rPr>
          <w:rFonts w:cs="Times New Roman"/>
        </w:rPr>
        <w:t xml:space="preserve"> </w:t>
      </w:r>
      <w:r w:rsidR="00A86387">
        <w:rPr>
          <w:rFonts w:cs="Times New Roman"/>
        </w:rPr>
        <w:t>20AH</w:t>
      </w:r>
    </w:p>
    <w:p w14:paraId="4CA7F337" w14:textId="77777777" w:rsidR="00D25132" w:rsidRDefault="00D25132" w:rsidP="00911B0B">
      <w:pPr>
        <w:spacing w:after="0" w:line="240" w:lineRule="auto"/>
        <w:jc w:val="center"/>
        <w:rPr>
          <w:rFonts w:cs="Times New Roman"/>
          <w:b/>
          <w:sz w:val="40"/>
        </w:rPr>
      </w:pPr>
    </w:p>
    <w:p w14:paraId="622A6111" w14:textId="77777777" w:rsidR="00911B0B" w:rsidRDefault="00911B0B" w:rsidP="00911B0B">
      <w:pPr>
        <w:spacing w:after="0" w:line="240" w:lineRule="auto"/>
        <w:jc w:val="center"/>
        <w:rPr>
          <w:rFonts w:cs="Times New Roman"/>
          <w:sz w:val="28"/>
        </w:rPr>
      </w:pPr>
      <w:r>
        <w:rPr>
          <w:rFonts w:cs="Times New Roman"/>
          <w:sz w:val="28"/>
        </w:rPr>
        <w:t>Eglin AFB, FL</w:t>
      </w:r>
    </w:p>
    <w:p w14:paraId="0EDAAC16" w14:textId="77777777" w:rsidR="00627B91" w:rsidRDefault="00627B91" w:rsidP="00911B0B">
      <w:pPr>
        <w:spacing w:after="0" w:line="240" w:lineRule="auto"/>
        <w:jc w:val="center"/>
        <w:rPr>
          <w:rFonts w:cs="Times New Roman"/>
          <w:sz w:val="28"/>
        </w:rPr>
      </w:pPr>
    </w:p>
    <w:bookmarkStart w:id="0" w:name="_GoBack" w:displacedByCustomXml="next"/>
    <w:sdt>
      <w:sdtPr>
        <w:rPr>
          <w:rFonts w:asciiTheme="minorHAnsi" w:eastAsiaTheme="minorHAnsi" w:hAnsiTheme="minorHAnsi" w:cs="Times New Roman"/>
          <w:b w:val="0"/>
          <w:bCs w:val="0"/>
          <w:smallCaps w:val="0"/>
          <w:sz w:val="22"/>
          <w:szCs w:val="22"/>
          <w:lang w:eastAsia="en-US"/>
        </w:rPr>
        <w:id w:val="-381878275"/>
        <w:docPartObj>
          <w:docPartGallery w:val="Table of Contents"/>
          <w:docPartUnique/>
        </w:docPartObj>
      </w:sdtPr>
      <w:sdtEndPr>
        <w:rPr>
          <w:rFonts w:ascii="Times New Roman" w:hAnsi="Times New Roman"/>
          <w:noProof/>
          <w:sz w:val="24"/>
        </w:rPr>
      </w:sdtEndPr>
      <w:sdtContent>
        <w:p w14:paraId="76087279" w14:textId="77777777" w:rsidR="001B747E" w:rsidRPr="00DA610A" w:rsidRDefault="00C31BA5" w:rsidP="00627B91">
          <w:pPr>
            <w:pStyle w:val="TOCHeading"/>
            <w:rPr>
              <w:rFonts w:cs="Times New Roman"/>
              <w:sz w:val="24"/>
              <w:u w:val="single"/>
            </w:rPr>
          </w:pPr>
          <w:r>
            <w:rPr>
              <w:rFonts w:cs="Times New Roman"/>
              <w:u w:val="single"/>
            </w:rPr>
            <w:t>Table Of Contents</w:t>
          </w:r>
        </w:p>
        <w:bookmarkEnd w:id="0"/>
        <w:p w14:paraId="3EEFB491" w14:textId="1D7655B6" w:rsidR="00A7583B" w:rsidRDefault="001B747E">
          <w:pPr>
            <w:pStyle w:val="TOC1"/>
            <w:rPr>
              <w:rFonts w:asciiTheme="minorHAnsi" w:eastAsiaTheme="minorEastAsia" w:hAnsiTheme="minorHAnsi"/>
              <w:smallCaps w:val="0"/>
              <w:noProof/>
              <w:sz w:val="22"/>
            </w:rPr>
          </w:pPr>
          <w:r w:rsidRPr="001B747E">
            <w:rPr>
              <w:rFonts w:cs="Times New Roman"/>
            </w:rPr>
            <w:fldChar w:fldCharType="begin"/>
          </w:r>
          <w:r w:rsidRPr="001B747E">
            <w:rPr>
              <w:rFonts w:cs="Times New Roman"/>
            </w:rPr>
            <w:instrText xml:space="preserve"> TOC \o "1-3" \h \z \u </w:instrText>
          </w:r>
          <w:r w:rsidRPr="001B747E">
            <w:rPr>
              <w:rFonts w:cs="Times New Roman"/>
            </w:rPr>
            <w:fldChar w:fldCharType="separate"/>
          </w:r>
          <w:hyperlink w:anchor="_Toc66703500" w:history="1">
            <w:r w:rsidR="00A7583B" w:rsidRPr="00BE46FA">
              <w:rPr>
                <w:rStyle w:val="Hyperlink"/>
                <w:noProof/>
              </w:rPr>
              <w:t>1.</w:t>
            </w:r>
            <w:r w:rsidR="00A7583B">
              <w:rPr>
                <w:rFonts w:asciiTheme="minorHAnsi" w:eastAsiaTheme="minorEastAsia" w:hAnsiTheme="minorHAnsi"/>
                <w:smallCaps w:val="0"/>
                <w:noProof/>
                <w:sz w:val="22"/>
              </w:rPr>
              <w:tab/>
            </w:r>
            <w:r w:rsidR="00A7583B" w:rsidRPr="00BE46FA">
              <w:rPr>
                <w:rStyle w:val="Hyperlink"/>
                <w:noProof/>
              </w:rPr>
              <w:t>General Description of Work</w:t>
            </w:r>
            <w:r w:rsidR="00A7583B">
              <w:rPr>
                <w:noProof/>
                <w:webHidden/>
              </w:rPr>
              <w:tab/>
            </w:r>
            <w:r w:rsidR="00A7583B">
              <w:rPr>
                <w:noProof/>
                <w:webHidden/>
              </w:rPr>
              <w:fldChar w:fldCharType="begin"/>
            </w:r>
            <w:r w:rsidR="00A7583B">
              <w:rPr>
                <w:noProof/>
                <w:webHidden/>
              </w:rPr>
              <w:instrText xml:space="preserve"> PAGEREF _Toc66703500 \h </w:instrText>
            </w:r>
            <w:r w:rsidR="00A7583B">
              <w:rPr>
                <w:noProof/>
                <w:webHidden/>
              </w:rPr>
            </w:r>
            <w:r w:rsidR="00A7583B">
              <w:rPr>
                <w:noProof/>
                <w:webHidden/>
              </w:rPr>
              <w:fldChar w:fldCharType="separate"/>
            </w:r>
            <w:r w:rsidR="00A7583B">
              <w:rPr>
                <w:noProof/>
                <w:webHidden/>
              </w:rPr>
              <w:t>0</w:t>
            </w:r>
            <w:r w:rsidR="00A7583B">
              <w:rPr>
                <w:noProof/>
                <w:webHidden/>
              </w:rPr>
              <w:fldChar w:fldCharType="end"/>
            </w:r>
          </w:hyperlink>
        </w:p>
        <w:p w14:paraId="0CEEF838" w14:textId="2E033F4A" w:rsidR="00A7583B" w:rsidRDefault="00A7583B">
          <w:pPr>
            <w:pStyle w:val="TOC1"/>
            <w:rPr>
              <w:rFonts w:asciiTheme="minorHAnsi" w:eastAsiaTheme="minorEastAsia" w:hAnsiTheme="minorHAnsi"/>
              <w:smallCaps w:val="0"/>
              <w:noProof/>
              <w:sz w:val="22"/>
            </w:rPr>
          </w:pPr>
          <w:hyperlink w:anchor="_Toc66703501" w:history="1">
            <w:r w:rsidRPr="00BE46FA">
              <w:rPr>
                <w:rStyle w:val="Hyperlink"/>
                <w:noProof/>
              </w:rPr>
              <w:t>2.</w:t>
            </w:r>
            <w:r>
              <w:rPr>
                <w:rFonts w:asciiTheme="minorHAnsi" w:eastAsiaTheme="minorEastAsia" w:hAnsiTheme="minorHAnsi"/>
                <w:smallCaps w:val="0"/>
                <w:noProof/>
                <w:sz w:val="22"/>
              </w:rPr>
              <w:tab/>
            </w:r>
            <w:r w:rsidRPr="00BE46FA">
              <w:rPr>
                <w:rStyle w:val="Hyperlink"/>
                <w:noProof/>
              </w:rPr>
              <w:t>Contractor Quality</w:t>
            </w:r>
            <w:r>
              <w:rPr>
                <w:noProof/>
                <w:webHidden/>
              </w:rPr>
              <w:tab/>
            </w:r>
            <w:r>
              <w:rPr>
                <w:noProof/>
                <w:webHidden/>
              </w:rPr>
              <w:fldChar w:fldCharType="begin"/>
            </w:r>
            <w:r>
              <w:rPr>
                <w:noProof/>
                <w:webHidden/>
              </w:rPr>
              <w:instrText xml:space="preserve"> PAGEREF _Toc66703501 \h </w:instrText>
            </w:r>
            <w:r>
              <w:rPr>
                <w:noProof/>
                <w:webHidden/>
              </w:rPr>
            </w:r>
            <w:r>
              <w:rPr>
                <w:noProof/>
                <w:webHidden/>
              </w:rPr>
              <w:fldChar w:fldCharType="separate"/>
            </w:r>
            <w:r>
              <w:rPr>
                <w:noProof/>
                <w:webHidden/>
              </w:rPr>
              <w:t>1</w:t>
            </w:r>
            <w:r>
              <w:rPr>
                <w:noProof/>
                <w:webHidden/>
              </w:rPr>
              <w:fldChar w:fldCharType="end"/>
            </w:r>
          </w:hyperlink>
        </w:p>
        <w:p w14:paraId="46B53224" w14:textId="285251B3" w:rsidR="00A7583B" w:rsidRDefault="00A7583B">
          <w:pPr>
            <w:pStyle w:val="TOC1"/>
            <w:rPr>
              <w:rFonts w:asciiTheme="minorHAnsi" w:eastAsiaTheme="minorEastAsia" w:hAnsiTheme="minorHAnsi"/>
              <w:smallCaps w:val="0"/>
              <w:noProof/>
              <w:sz w:val="22"/>
            </w:rPr>
          </w:pPr>
          <w:hyperlink w:anchor="_Toc66703502" w:history="1">
            <w:r w:rsidRPr="00BE46FA">
              <w:rPr>
                <w:rStyle w:val="Hyperlink"/>
                <w:noProof/>
              </w:rPr>
              <w:t>3.</w:t>
            </w:r>
            <w:r>
              <w:rPr>
                <w:rFonts w:asciiTheme="minorHAnsi" w:eastAsiaTheme="minorEastAsia" w:hAnsiTheme="minorHAnsi"/>
                <w:smallCaps w:val="0"/>
                <w:noProof/>
                <w:sz w:val="22"/>
              </w:rPr>
              <w:tab/>
            </w:r>
            <w:r w:rsidRPr="00BE46FA">
              <w:rPr>
                <w:rStyle w:val="Hyperlink"/>
                <w:noProof/>
              </w:rPr>
              <w:t>Safety</w:t>
            </w:r>
            <w:r>
              <w:rPr>
                <w:noProof/>
                <w:webHidden/>
              </w:rPr>
              <w:tab/>
            </w:r>
            <w:r>
              <w:rPr>
                <w:noProof/>
                <w:webHidden/>
              </w:rPr>
              <w:fldChar w:fldCharType="begin"/>
            </w:r>
            <w:r>
              <w:rPr>
                <w:noProof/>
                <w:webHidden/>
              </w:rPr>
              <w:instrText xml:space="preserve"> PAGEREF _Toc66703502 \h </w:instrText>
            </w:r>
            <w:r>
              <w:rPr>
                <w:noProof/>
                <w:webHidden/>
              </w:rPr>
            </w:r>
            <w:r>
              <w:rPr>
                <w:noProof/>
                <w:webHidden/>
              </w:rPr>
              <w:fldChar w:fldCharType="separate"/>
            </w:r>
            <w:r>
              <w:rPr>
                <w:noProof/>
                <w:webHidden/>
              </w:rPr>
              <w:t>1</w:t>
            </w:r>
            <w:r>
              <w:rPr>
                <w:noProof/>
                <w:webHidden/>
              </w:rPr>
              <w:fldChar w:fldCharType="end"/>
            </w:r>
          </w:hyperlink>
        </w:p>
        <w:p w14:paraId="305178F4" w14:textId="505913E6" w:rsidR="00A7583B" w:rsidRDefault="00A7583B">
          <w:pPr>
            <w:pStyle w:val="TOC1"/>
            <w:rPr>
              <w:rFonts w:asciiTheme="minorHAnsi" w:eastAsiaTheme="minorEastAsia" w:hAnsiTheme="minorHAnsi"/>
              <w:smallCaps w:val="0"/>
              <w:noProof/>
              <w:sz w:val="22"/>
            </w:rPr>
          </w:pPr>
          <w:hyperlink w:anchor="_Toc66703503" w:history="1">
            <w:r w:rsidRPr="00BE46FA">
              <w:rPr>
                <w:rStyle w:val="Hyperlink"/>
                <w:noProof/>
              </w:rPr>
              <w:t>4.</w:t>
            </w:r>
            <w:r>
              <w:rPr>
                <w:rFonts w:asciiTheme="minorHAnsi" w:eastAsiaTheme="minorEastAsia" w:hAnsiTheme="minorHAnsi"/>
                <w:smallCaps w:val="0"/>
                <w:noProof/>
                <w:sz w:val="22"/>
              </w:rPr>
              <w:tab/>
            </w:r>
            <w:r w:rsidRPr="00BE46FA">
              <w:rPr>
                <w:rStyle w:val="Hyperlink"/>
                <w:noProof/>
              </w:rPr>
              <w:t>Submittals</w:t>
            </w:r>
            <w:r>
              <w:rPr>
                <w:noProof/>
                <w:webHidden/>
              </w:rPr>
              <w:tab/>
            </w:r>
            <w:r>
              <w:rPr>
                <w:noProof/>
                <w:webHidden/>
              </w:rPr>
              <w:fldChar w:fldCharType="begin"/>
            </w:r>
            <w:r>
              <w:rPr>
                <w:noProof/>
                <w:webHidden/>
              </w:rPr>
              <w:instrText xml:space="preserve"> PAGEREF _Toc66703503 \h </w:instrText>
            </w:r>
            <w:r>
              <w:rPr>
                <w:noProof/>
                <w:webHidden/>
              </w:rPr>
            </w:r>
            <w:r>
              <w:rPr>
                <w:noProof/>
                <w:webHidden/>
              </w:rPr>
              <w:fldChar w:fldCharType="separate"/>
            </w:r>
            <w:r>
              <w:rPr>
                <w:noProof/>
                <w:webHidden/>
              </w:rPr>
              <w:t>1</w:t>
            </w:r>
            <w:r>
              <w:rPr>
                <w:noProof/>
                <w:webHidden/>
              </w:rPr>
              <w:fldChar w:fldCharType="end"/>
            </w:r>
          </w:hyperlink>
        </w:p>
        <w:p w14:paraId="4099F55E" w14:textId="13150C5C" w:rsidR="00A7583B" w:rsidRDefault="00A7583B">
          <w:pPr>
            <w:pStyle w:val="TOC1"/>
            <w:rPr>
              <w:rFonts w:asciiTheme="minorHAnsi" w:eastAsiaTheme="minorEastAsia" w:hAnsiTheme="minorHAnsi"/>
              <w:smallCaps w:val="0"/>
              <w:noProof/>
              <w:sz w:val="22"/>
            </w:rPr>
          </w:pPr>
          <w:hyperlink w:anchor="_Toc66703504" w:history="1">
            <w:r w:rsidRPr="00BE46FA">
              <w:rPr>
                <w:rStyle w:val="Hyperlink"/>
                <w:noProof/>
              </w:rPr>
              <w:t>5.</w:t>
            </w:r>
            <w:r>
              <w:rPr>
                <w:rFonts w:asciiTheme="minorHAnsi" w:eastAsiaTheme="minorEastAsia" w:hAnsiTheme="minorHAnsi"/>
                <w:smallCaps w:val="0"/>
                <w:noProof/>
                <w:sz w:val="22"/>
              </w:rPr>
              <w:tab/>
            </w:r>
            <w:r w:rsidRPr="00BE46FA">
              <w:rPr>
                <w:rStyle w:val="Hyperlink"/>
                <w:noProof/>
              </w:rPr>
              <w:t>Schedule</w:t>
            </w:r>
            <w:r>
              <w:rPr>
                <w:noProof/>
                <w:webHidden/>
              </w:rPr>
              <w:tab/>
            </w:r>
            <w:r>
              <w:rPr>
                <w:noProof/>
                <w:webHidden/>
              </w:rPr>
              <w:fldChar w:fldCharType="begin"/>
            </w:r>
            <w:r>
              <w:rPr>
                <w:noProof/>
                <w:webHidden/>
              </w:rPr>
              <w:instrText xml:space="preserve"> PAGEREF _Toc66703504 \h </w:instrText>
            </w:r>
            <w:r>
              <w:rPr>
                <w:noProof/>
                <w:webHidden/>
              </w:rPr>
            </w:r>
            <w:r>
              <w:rPr>
                <w:noProof/>
                <w:webHidden/>
              </w:rPr>
              <w:fldChar w:fldCharType="separate"/>
            </w:r>
            <w:r>
              <w:rPr>
                <w:noProof/>
                <w:webHidden/>
              </w:rPr>
              <w:t>1</w:t>
            </w:r>
            <w:r>
              <w:rPr>
                <w:noProof/>
                <w:webHidden/>
              </w:rPr>
              <w:fldChar w:fldCharType="end"/>
            </w:r>
          </w:hyperlink>
        </w:p>
        <w:p w14:paraId="6D66F0FC" w14:textId="0C0C73D1" w:rsidR="00A7583B" w:rsidRDefault="00A7583B">
          <w:pPr>
            <w:pStyle w:val="TOC1"/>
            <w:rPr>
              <w:rFonts w:asciiTheme="minorHAnsi" w:eastAsiaTheme="minorEastAsia" w:hAnsiTheme="minorHAnsi"/>
              <w:smallCaps w:val="0"/>
              <w:noProof/>
              <w:sz w:val="22"/>
            </w:rPr>
          </w:pPr>
          <w:hyperlink w:anchor="_Toc66703505" w:history="1">
            <w:r w:rsidRPr="00BE46FA">
              <w:rPr>
                <w:rStyle w:val="Hyperlink"/>
                <w:noProof/>
              </w:rPr>
              <w:t>6.</w:t>
            </w:r>
            <w:r>
              <w:rPr>
                <w:rFonts w:asciiTheme="minorHAnsi" w:eastAsiaTheme="minorEastAsia" w:hAnsiTheme="minorHAnsi"/>
                <w:smallCaps w:val="0"/>
                <w:noProof/>
                <w:sz w:val="22"/>
              </w:rPr>
              <w:tab/>
            </w:r>
            <w:r w:rsidRPr="00BE46FA">
              <w:rPr>
                <w:rStyle w:val="Hyperlink"/>
                <w:noProof/>
              </w:rPr>
              <w:t>Request For Information</w:t>
            </w:r>
            <w:r>
              <w:rPr>
                <w:noProof/>
                <w:webHidden/>
              </w:rPr>
              <w:tab/>
            </w:r>
            <w:r>
              <w:rPr>
                <w:noProof/>
                <w:webHidden/>
              </w:rPr>
              <w:fldChar w:fldCharType="begin"/>
            </w:r>
            <w:r>
              <w:rPr>
                <w:noProof/>
                <w:webHidden/>
              </w:rPr>
              <w:instrText xml:space="preserve"> PAGEREF _Toc66703505 \h </w:instrText>
            </w:r>
            <w:r>
              <w:rPr>
                <w:noProof/>
                <w:webHidden/>
              </w:rPr>
            </w:r>
            <w:r>
              <w:rPr>
                <w:noProof/>
                <w:webHidden/>
              </w:rPr>
              <w:fldChar w:fldCharType="separate"/>
            </w:r>
            <w:r>
              <w:rPr>
                <w:noProof/>
                <w:webHidden/>
              </w:rPr>
              <w:t>2</w:t>
            </w:r>
            <w:r>
              <w:rPr>
                <w:noProof/>
                <w:webHidden/>
              </w:rPr>
              <w:fldChar w:fldCharType="end"/>
            </w:r>
          </w:hyperlink>
        </w:p>
        <w:p w14:paraId="2137EB96" w14:textId="64498366" w:rsidR="00A7583B" w:rsidRDefault="00A7583B">
          <w:pPr>
            <w:pStyle w:val="TOC1"/>
            <w:rPr>
              <w:rFonts w:asciiTheme="minorHAnsi" w:eastAsiaTheme="minorEastAsia" w:hAnsiTheme="minorHAnsi"/>
              <w:smallCaps w:val="0"/>
              <w:noProof/>
              <w:sz w:val="22"/>
            </w:rPr>
          </w:pPr>
          <w:hyperlink w:anchor="_Toc66703506" w:history="1">
            <w:r w:rsidRPr="00BE46FA">
              <w:rPr>
                <w:rStyle w:val="Hyperlink"/>
                <w:noProof/>
              </w:rPr>
              <w:t>7.</w:t>
            </w:r>
            <w:r>
              <w:rPr>
                <w:rFonts w:asciiTheme="minorHAnsi" w:eastAsiaTheme="minorEastAsia" w:hAnsiTheme="minorHAnsi"/>
                <w:smallCaps w:val="0"/>
                <w:noProof/>
                <w:sz w:val="22"/>
              </w:rPr>
              <w:tab/>
            </w:r>
            <w:r w:rsidRPr="00BE46FA">
              <w:rPr>
                <w:rStyle w:val="Hyperlink"/>
                <w:noProof/>
              </w:rPr>
              <w:t>Meetings</w:t>
            </w:r>
            <w:r>
              <w:rPr>
                <w:noProof/>
                <w:webHidden/>
              </w:rPr>
              <w:tab/>
            </w:r>
            <w:r>
              <w:rPr>
                <w:noProof/>
                <w:webHidden/>
              </w:rPr>
              <w:fldChar w:fldCharType="begin"/>
            </w:r>
            <w:r>
              <w:rPr>
                <w:noProof/>
                <w:webHidden/>
              </w:rPr>
              <w:instrText xml:space="preserve"> PAGEREF _Toc66703506 \h </w:instrText>
            </w:r>
            <w:r>
              <w:rPr>
                <w:noProof/>
                <w:webHidden/>
              </w:rPr>
            </w:r>
            <w:r>
              <w:rPr>
                <w:noProof/>
                <w:webHidden/>
              </w:rPr>
              <w:fldChar w:fldCharType="separate"/>
            </w:r>
            <w:r>
              <w:rPr>
                <w:noProof/>
                <w:webHidden/>
              </w:rPr>
              <w:t>2</w:t>
            </w:r>
            <w:r>
              <w:rPr>
                <w:noProof/>
                <w:webHidden/>
              </w:rPr>
              <w:fldChar w:fldCharType="end"/>
            </w:r>
          </w:hyperlink>
        </w:p>
        <w:p w14:paraId="79558CAA" w14:textId="56708C23" w:rsidR="00A7583B" w:rsidRDefault="00A7583B">
          <w:pPr>
            <w:pStyle w:val="TOC1"/>
            <w:rPr>
              <w:rFonts w:asciiTheme="minorHAnsi" w:eastAsiaTheme="minorEastAsia" w:hAnsiTheme="minorHAnsi"/>
              <w:smallCaps w:val="0"/>
              <w:noProof/>
              <w:sz w:val="22"/>
            </w:rPr>
          </w:pPr>
          <w:hyperlink w:anchor="_Toc66703507" w:history="1">
            <w:r w:rsidRPr="00BE46FA">
              <w:rPr>
                <w:rStyle w:val="Hyperlink"/>
                <w:noProof/>
              </w:rPr>
              <w:t>8.</w:t>
            </w:r>
            <w:r>
              <w:rPr>
                <w:rFonts w:asciiTheme="minorHAnsi" w:eastAsiaTheme="minorEastAsia" w:hAnsiTheme="minorHAnsi"/>
                <w:smallCaps w:val="0"/>
                <w:noProof/>
                <w:sz w:val="22"/>
              </w:rPr>
              <w:tab/>
            </w:r>
            <w:r w:rsidRPr="00BE46FA">
              <w:rPr>
                <w:rStyle w:val="Hyperlink"/>
                <w:noProof/>
              </w:rPr>
              <w:t>Temporary Facilities and Work Area</w:t>
            </w:r>
            <w:r>
              <w:rPr>
                <w:noProof/>
                <w:webHidden/>
              </w:rPr>
              <w:tab/>
            </w:r>
            <w:r>
              <w:rPr>
                <w:noProof/>
                <w:webHidden/>
              </w:rPr>
              <w:fldChar w:fldCharType="begin"/>
            </w:r>
            <w:r>
              <w:rPr>
                <w:noProof/>
                <w:webHidden/>
              </w:rPr>
              <w:instrText xml:space="preserve"> PAGEREF _Toc66703507 \h </w:instrText>
            </w:r>
            <w:r>
              <w:rPr>
                <w:noProof/>
                <w:webHidden/>
              </w:rPr>
            </w:r>
            <w:r>
              <w:rPr>
                <w:noProof/>
                <w:webHidden/>
              </w:rPr>
              <w:fldChar w:fldCharType="separate"/>
            </w:r>
            <w:r>
              <w:rPr>
                <w:noProof/>
                <w:webHidden/>
              </w:rPr>
              <w:t>4</w:t>
            </w:r>
            <w:r>
              <w:rPr>
                <w:noProof/>
                <w:webHidden/>
              </w:rPr>
              <w:fldChar w:fldCharType="end"/>
            </w:r>
          </w:hyperlink>
        </w:p>
        <w:p w14:paraId="62025848" w14:textId="2EB7BCA2" w:rsidR="00A7583B" w:rsidRDefault="00A7583B">
          <w:pPr>
            <w:pStyle w:val="TOC1"/>
            <w:rPr>
              <w:rFonts w:asciiTheme="minorHAnsi" w:eastAsiaTheme="minorEastAsia" w:hAnsiTheme="minorHAnsi"/>
              <w:smallCaps w:val="0"/>
              <w:noProof/>
              <w:sz w:val="22"/>
            </w:rPr>
          </w:pPr>
          <w:hyperlink w:anchor="_Toc66703508" w:history="1">
            <w:r w:rsidRPr="00BE46FA">
              <w:rPr>
                <w:rStyle w:val="Hyperlink"/>
                <w:noProof/>
              </w:rPr>
              <w:t>9.</w:t>
            </w:r>
            <w:r>
              <w:rPr>
                <w:rFonts w:asciiTheme="minorHAnsi" w:eastAsiaTheme="minorEastAsia" w:hAnsiTheme="minorHAnsi"/>
                <w:smallCaps w:val="0"/>
                <w:noProof/>
                <w:sz w:val="22"/>
              </w:rPr>
              <w:tab/>
            </w:r>
            <w:r w:rsidRPr="00BE46FA">
              <w:rPr>
                <w:rStyle w:val="Hyperlink"/>
                <w:noProof/>
              </w:rPr>
              <w:t>Cranes</w:t>
            </w:r>
            <w:r>
              <w:rPr>
                <w:noProof/>
                <w:webHidden/>
              </w:rPr>
              <w:tab/>
            </w:r>
            <w:r>
              <w:rPr>
                <w:noProof/>
                <w:webHidden/>
              </w:rPr>
              <w:fldChar w:fldCharType="begin"/>
            </w:r>
            <w:r>
              <w:rPr>
                <w:noProof/>
                <w:webHidden/>
              </w:rPr>
              <w:instrText xml:space="preserve"> PAGEREF _Toc66703508 \h </w:instrText>
            </w:r>
            <w:r>
              <w:rPr>
                <w:noProof/>
                <w:webHidden/>
              </w:rPr>
            </w:r>
            <w:r>
              <w:rPr>
                <w:noProof/>
                <w:webHidden/>
              </w:rPr>
              <w:fldChar w:fldCharType="separate"/>
            </w:r>
            <w:r>
              <w:rPr>
                <w:noProof/>
                <w:webHidden/>
              </w:rPr>
              <w:t>4</w:t>
            </w:r>
            <w:r>
              <w:rPr>
                <w:noProof/>
                <w:webHidden/>
              </w:rPr>
              <w:fldChar w:fldCharType="end"/>
            </w:r>
          </w:hyperlink>
        </w:p>
        <w:p w14:paraId="0F01AC2F" w14:textId="074CC7D2" w:rsidR="00A7583B" w:rsidRDefault="00A7583B">
          <w:pPr>
            <w:pStyle w:val="TOC1"/>
            <w:rPr>
              <w:rFonts w:asciiTheme="minorHAnsi" w:eastAsiaTheme="minorEastAsia" w:hAnsiTheme="minorHAnsi"/>
              <w:smallCaps w:val="0"/>
              <w:noProof/>
              <w:sz w:val="22"/>
            </w:rPr>
          </w:pPr>
          <w:hyperlink w:anchor="_Toc66703509" w:history="1">
            <w:r w:rsidRPr="00BE46FA">
              <w:rPr>
                <w:rStyle w:val="Hyperlink"/>
                <w:noProof/>
              </w:rPr>
              <w:t>10.</w:t>
            </w:r>
            <w:r>
              <w:rPr>
                <w:rFonts w:asciiTheme="minorHAnsi" w:eastAsiaTheme="minorEastAsia" w:hAnsiTheme="minorHAnsi"/>
                <w:smallCaps w:val="0"/>
                <w:noProof/>
                <w:sz w:val="22"/>
              </w:rPr>
              <w:tab/>
            </w:r>
            <w:r w:rsidRPr="00BE46FA">
              <w:rPr>
                <w:rStyle w:val="Hyperlink"/>
                <w:noProof/>
              </w:rPr>
              <w:t>Utility Outages and Road Closures</w:t>
            </w:r>
            <w:r>
              <w:rPr>
                <w:noProof/>
                <w:webHidden/>
              </w:rPr>
              <w:tab/>
            </w:r>
            <w:r>
              <w:rPr>
                <w:noProof/>
                <w:webHidden/>
              </w:rPr>
              <w:fldChar w:fldCharType="begin"/>
            </w:r>
            <w:r>
              <w:rPr>
                <w:noProof/>
                <w:webHidden/>
              </w:rPr>
              <w:instrText xml:space="preserve"> PAGEREF _Toc66703509 \h </w:instrText>
            </w:r>
            <w:r>
              <w:rPr>
                <w:noProof/>
                <w:webHidden/>
              </w:rPr>
            </w:r>
            <w:r>
              <w:rPr>
                <w:noProof/>
                <w:webHidden/>
              </w:rPr>
              <w:fldChar w:fldCharType="separate"/>
            </w:r>
            <w:r>
              <w:rPr>
                <w:noProof/>
                <w:webHidden/>
              </w:rPr>
              <w:t>4</w:t>
            </w:r>
            <w:r>
              <w:rPr>
                <w:noProof/>
                <w:webHidden/>
              </w:rPr>
              <w:fldChar w:fldCharType="end"/>
            </w:r>
          </w:hyperlink>
        </w:p>
        <w:p w14:paraId="4E373B60" w14:textId="463840A0" w:rsidR="00A7583B" w:rsidRDefault="00A7583B">
          <w:pPr>
            <w:pStyle w:val="TOC1"/>
            <w:rPr>
              <w:rFonts w:asciiTheme="minorHAnsi" w:eastAsiaTheme="minorEastAsia" w:hAnsiTheme="minorHAnsi"/>
              <w:smallCaps w:val="0"/>
              <w:noProof/>
              <w:sz w:val="22"/>
            </w:rPr>
          </w:pPr>
          <w:hyperlink w:anchor="_Toc66703510" w:history="1">
            <w:r w:rsidRPr="00BE46FA">
              <w:rPr>
                <w:rStyle w:val="Hyperlink"/>
                <w:noProof/>
              </w:rPr>
              <w:t>11.</w:t>
            </w:r>
            <w:r>
              <w:rPr>
                <w:rFonts w:asciiTheme="minorHAnsi" w:eastAsiaTheme="minorEastAsia" w:hAnsiTheme="minorHAnsi"/>
                <w:smallCaps w:val="0"/>
                <w:noProof/>
                <w:sz w:val="22"/>
              </w:rPr>
              <w:tab/>
            </w:r>
            <w:r w:rsidRPr="00BE46FA">
              <w:rPr>
                <w:rStyle w:val="Hyperlink"/>
                <w:noProof/>
              </w:rPr>
              <w:t>Availability and Use of Utility Services</w:t>
            </w:r>
            <w:r>
              <w:rPr>
                <w:noProof/>
                <w:webHidden/>
              </w:rPr>
              <w:tab/>
            </w:r>
            <w:r>
              <w:rPr>
                <w:noProof/>
                <w:webHidden/>
              </w:rPr>
              <w:fldChar w:fldCharType="begin"/>
            </w:r>
            <w:r>
              <w:rPr>
                <w:noProof/>
                <w:webHidden/>
              </w:rPr>
              <w:instrText xml:space="preserve"> PAGEREF _Toc66703510 \h </w:instrText>
            </w:r>
            <w:r>
              <w:rPr>
                <w:noProof/>
                <w:webHidden/>
              </w:rPr>
            </w:r>
            <w:r>
              <w:rPr>
                <w:noProof/>
                <w:webHidden/>
              </w:rPr>
              <w:fldChar w:fldCharType="separate"/>
            </w:r>
            <w:r>
              <w:rPr>
                <w:noProof/>
                <w:webHidden/>
              </w:rPr>
              <w:t>5</w:t>
            </w:r>
            <w:r>
              <w:rPr>
                <w:noProof/>
                <w:webHidden/>
              </w:rPr>
              <w:fldChar w:fldCharType="end"/>
            </w:r>
          </w:hyperlink>
        </w:p>
        <w:p w14:paraId="37EDA379" w14:textId="303FB402" w:rsidR="00A7583B" w:rsidRDefault="00A7583B">
          <w:pPr>
            <w:pStyle w:val="TOC1"/>
            <w:rPr>
              <w:rFonts w:asciiTheme="minorHAnsi" w:eastAsiaTheme="minorEastAsia" w:hAnsiTheme="minorHAnsi"/>
              <w:smallCaps w:val="0"/>
              <w:noProof/>
              <w:sz w:val="22"/>
            </w:rPr>
          </w:pPr>
          <w:hyperlink w:anchor="_Toc66703511" w:history="1">
            <w:r w:rsidRPr="00BE46FA">
              <w:rPr>
                <w:rStyle w:val="Hyperlink"/>
                <w:noProof/>
              </w:rPr>
              <w:t>12.</w:t>
            </w:r>
            <w:r>
              <w:rPr>
                <w:rFonts w:asciiTheme="minorHAnsi" w:eastAsiaTheme="minorEastAsia" w:hAnsiTheme="minorHAnsi"/>
                <w:smallCaps w:val="0"/>
                <w:noProof/>
                <w:sz w:val="22"/>
              </w:rPr>
              <w:tab/>
            </w:r>
            <w:r w:rsidRPr="00BE46FA">
              <w:rPr>
                <w:rStyle w:val="Hyperlink"/>
                <w:noProof/>
              </w:rPr>
              <w:t>Hours of Work</w:t>
            </w:r>
            <w:r>
              <w:rPr>
                <w:noProof/>
                <w:webHidden/>
              </w:rPr>
              <w:tab/>
            </w:r>
            <w:r>
              <w:rPr>
                <w:noProof/>
                <w:webHidden/>
              </w:rPr>
              <w:fldChar w:fldCharType="begin"/>
            </w:r>
            <w:r>
              <w:rPr>
                <w:noProof/>
                <w:webHidden/>
              </w:rPr>
              <w:instrText xml:space="preserve"> PAGEREF _Toc66703511 \h </w:instrText>
            </w:r>
            <w:r>
              <w:rPr>
                <w:noProof/>
                <w:webHidden/>
              </w:rPr>
            </w:r>
            <w:r>
              <w:rPr>
                <w:noProof/>
                <w:webHidden/>
              </w:rPr>
              <w:fldChar w:fldCharType="separate"/>
            </w:r>
            <w:r>
              <w:rPr>
                <w:noProof/>
                <w:webHidden/>
              </w:rPr>
              <w:t>6</w:t>
            </w:r>
            <w:r>
              <w:rPr>
                <w:noProof/>
                <w:webHidden/>
              </w:rPr>
              <w:fldChar w:fldCharType="end"/>
            </w:r>
          </w:hyperlink>
        </w:p>
        <w:p w14:paraId="32A52B61" w14:textId="657AA130" w:rsidR="00A7583B" w:rsidRDefault="00A7583B">
          <w:pPr>
            <w:pStyle w:val="TOC1"/>
            <w:rPr>
              <w:rFonts w:asciiTheme="minorHAnsi" w:eastAsiaTheme="minorEastAsia" w:hAnsiTheme="minorHAnsi"/>
              <w:smallCaps w:val="0"/>
              <w:noProof/>
              <w:sz w:val="22"/>
            </w:rPr>
          </w:pPr>
          <w:hyperlink w:anchor="_Toc66703512" w:history="1">
            <w:r w:rsidRPr="00BE46FA">
              <w:rPr>
                <w:rStyle w:val="Hyperlink"/>
                <w:noProof/>
              </w:rPr>
              <w:t>13.</w:t>
            </w:r>
            <w:r>
              <w:rPr>
                <w:rFonts w:asciiTheme="minorHAnsi" w:eastAsiaTheme="minorEastAsia" w:hAnsiTheme="minorHAnsi"/>
                <w:smallCaps w:val="0"/>
                <w:noProof/>
                <w:sz w:val="22"/>
              </w:rPr>
              <w:tab/>
            </w:r>
            <w:r w:rsidRPr="00BE46FA">
              <w:rPr>
                <w:rStyle w:val="Hyperlink"/>
                <w:noProof/>
              </w:rPr>
              <w:t>Warranty</w:t>
            </w:r>
            <w:r>
              <w:rPr>
                <w:noProof/>
                <w:webHidden/>
              </w:rPr>
              <w:tab/>
            </w:r>
            <w:r>
              <w:rPr>
                <w:noProof/>
                <w:webHidden/>
              </w:rPr>
              <w:fldChar w:fldCharType="begin"/>
            </w:r>
            <w:r>
              <w:rPr>
                <w:noProof/>
                <w:webHidden/>
              </w:rPr>
              <w:instrText xml:space="preserve"> PAGEREF _Toc66703512 \h </w:instrText>
            </w:r>
            <w:r>
              <w:rPr>
                <w:noProof/>
                <w:webHidden/>
              </w:rPr>
            </w:r>
            <w:r>
              <w:rPr>
                <w:noProof/>
                <w:webHidden/>
              </w:rPr>
              <w:fldChar w:fldCharType="separate"/>
            </w:r>
            <w:r>
              <w:rPr>
                <w:noProof/>
                <w:webHidden/>
              </w:rPr>
              <w:t>6</w:t>
            </w:r>
            <w:r>
              <w:rPr>
                <w:noProof/>
                <w:webHidden/>
              </w:rPr>
              <w:fldChar w:fldCharType="end"/>
            </w:r>
          </w:hyperlink>
        </w:p>
        <w:p w14:paraId="057DFA97" w14:textId="59DC62F8" w:rsidR="00A7583B" w:rsidRDefault="00A7583B">
          <w:pPr>
            <w:pStyle w:val="TOC1"/>
            <w:rPr>
              <w:rFonts w:asciiTheme="minorHAnsi" w:eastAsiaTheme="minorEastAsia" w:hAnsiTheme="minorHAnsi"/>
              <w:smallCaps w:val="0"/>
              <w:noProof/>
              <w:sz w:val="22"/>
            </w:rPr>
          </w:pPr>
          <w:hyperlink w:anchor="_Toc66703513" w:history="1">
            <w:r w:rsidRPr="00BE46FA">
              <w:rPr>
                <w:rStyle w:val="Hyperlink"/>
                <w:noProof/>
              </w:rPr>
              <w:t>14.</w:t>
            </w:r>
            <w:r>
              <w:rPr>
                <w:rFonts w:asciiTheme="minorHAnsi" w:eastAsiaTheme="minorEastAsia" w:hAnsiTheme="minorHAnsi"/>
                <w:smallCaps w:val="0"/>
                <w:noProof/>
                <w:sz w:val="22"/>
              </w:rPr>
              <w:tab/>
            </w:r>
            <w:r w:rsidRPr="00BE46FA">
              <w:rPr>
                <w:rStyle w:val="Hyperlink"/>
                <w:noProof/>
              </w:rPr>
              <w:t>Closeout</w:t>
            </w:r>
            <w:r>
              <w:rPr>
                <w:noProof/>
                <w:webHidden/>
              </w:rPr>
              <w:tab/>
            </w:r>
            <w:r>
              <w:rPr>
                <w:noProof/>
                <w:webHidden/>
              </w:rPr>
              <w:fldChar w:fldCharType="begin"/>
            </w:r>
            <w:r>
              <w:rPr>
                <w:noProof/>
                <w:webHidden/>
              </w:rPr>
              <w:instrText xml:space="preserve"> PAGEREF _Toc66703513 \h </w:instrText>
            </w:r>
            <w:r>
              <w:rPr>
                <w:noProof/>
                <w:webHidden/>
              </w:rPr>
            </w:r>
            <w:r>
              <w:rPr>
                <w:noProof/>
                <w:webHidden/>
              </w:rPr>
              <w:fldChar w:fldCharType="separate"/>
            </w:r>
            <w:r>
              <w:rPr>
                <w:noProof/>
                <w:webHidden/>
              </w:rPr>
              <w:t>6</w:t>
            </w:r>
            <w:r>
              <w:rPr>
                <w:noProof/>
                <w:webHidden/>
              </w:rPr>
              <w:fldChar w:fldCharType="end"/>
            </w:r>
          </w:hyperlink>
        </w:p>
        <w:p w14:paraId="4D0317DF" w14:textId="77D58C69" w:rsidR="00A7583B" w:rsidRDefault="00A7583B">
          <w:pPr>
            <w:pStyle w:val="TOC1"/>
            <w:rPr>
              <w:rFonts w:asciiTheme="minorHAnsi" w:eastAsiaTheme="minorEastAsia" w:hAnsiTheme="minorHAnsi"/>
              <w:smallCaps w:val="0"/>
              <w:noProof/>
              <w:sz w:val="22"/>
            </w:rPr>
          </w:pPr>
          <w:hyperlink w:anchor="_Toc66703514" w:history="1">
            <w:r w:rsidRPr="00BE46FA">
              <w:rPr>
                <w:rStyle w:val="Hyperlink"/>
                <w:noProof/>
              </w:rPr>
              <w:t>15.</w:t>
            </w:r>
            <w:r>
              <w:rPr>
                <w:rFonts w:asciiTheme="minorHAnsi" w:eastAsiaTheme="minorEastAsia" w:hAnsiTheme="minorHAnsi"/>
                <w:smallCaps w:val="0"/>
                <w:noProof/>
                <w:sz w:val="22"/>
              </w:rPr>
              <w:tab/>
            </w:r>
            <w:r w:rsidRPr="00BE46FA">
              <w:rPr>
                <w:rStyle w:val="Hyperlink"/>
                <w:noProof/>
              </w:rPr>
              <w:t>Additional Enclosures</w:t>
            </w:r>
            <w:r>
              <w:rPr>
                <w:noProof/>
                <w:webHidden/>
              </w:rPr>
              <w:tab/>
            </w:r>
            <w:r>
              <w:rPr>
                <w:noProof/>
                <w:webHidden/>
              </w:rPr>
              <w:fldChar w:fldCharType="begin"/>
            </w:r>
            <w:r>
              <w:rPr>
                <w:noProof/>
                <w:webHidden/>
              </w:rPr>
              <w:instrText xml:space="preserve"> PAGEREF _Toc66703514 \h </w:instrText>
            </w:r>
            <w:r>
              <w:rPr>
                <w:noProof/>
                <w:webHidden/>
              </w:rPr>
            </w:r>
            <w:r>
              <w:rPr>
                <w:noProof/>
                <w:webHidden/>
              </w:rPr>
              <w:fldChar w:fldCharType="separate"/>
            </w:r>
            <w:r>
              <w:rPr>
                <w:noProof/>
                <w:webHidden/>
              </w:rPr>
              <w:t>6</w:t>
            </w:r>
            <w:r>
              <w:rPr>
                <w:noProof/>
                <w:webHidden/>
              </w:rPr>
              <w:fldChar w:fldCharType="end"/>
            </w:r>
          </w:hyperlink>
        </w:p>
        <w:p w14:paraId="6C05731A" w14:textId="269BB807" w:rsidR="001B747E" w:rsidRDefault="001B747E">
          <w:pPr>
            <w:rPr>
              <w:rFonts w:cs="Times New Roman"/>
              <w:noProof/>
            </w:rPr>
          </w:pPr>
          <w:r w:rsidRPr="001B747E">
            <w:rPr>
              <w:rFonts w:cs="Times New Roman"/>
              <w:b/>
              <w:bCs/>
              <w:noProof/>
            </w:rPr>
            <w:fldChar w:fldCharType="end"/>
          </w:r>
        </w:p>
      </w:sdtContent>
    </w:sdt>
    <w:p w14:paraId="281D8DB4" w14:textId="77777777" w:rsidR="00266F5C" w:rsidRPr="001B747E" w:rsidRDefault="00266F5C">
      <w:pPr>
        <w:rPr>
          <w:rFonts w:cs="Times New Roman"/>
        </w:rPr>
      </w:pPr>
    </w:p>
    <w:p w14:paraId="10D2038B" w14:textId="77777777" w:rsidR="00E21713" w:rsidRDefault="00607B7E" w:rsidP="00E21713">
      <w:pPr>
        <w:pStyle w:val="Heading1"/>
        <w:numPr>
          <w:ilvl w:val="0"/>
          <w:numId w:val="2"/>
        </w:numPr>
      </w:pPr>
      <w:bookmarkStart w:id="1" w:name="_Toc66703500"/>
      <w:r>
        <w:t>General Description of Work</w:t>
      </w:r>
      <w:bookmarkEnd w:id="1"/>
    </w:p>
    <w:p w14:paraId="63DE941B" w14:textId="77777777" w:rsidR="002C4345" w:rsidRDefault="002C4345" w:rsidP="002C4345">
      <w:pPr>
        <w:pStyle w:val="SOWParagraph"/>
      </w:pPr>
      <w:r>
        <w:t xml:space="preserve">Project 20-BC73, Renovate Squadron Operations Area JSF Hangar B1412, hereinafter referred to as the “Project”, is to renovate the Squadron Operations and Aircraft </w:t>
      </w:r>
      <w:r>
        <w:lastRenderedPageBreak/>
        <w:t>Maintenance Unit (AMU) areas of building 1412 to support the bed-down of a second squadron of Joint Strike Fighter (JSF) F-35As to be assigned to Fighter Wing (33 FW).</w:t>
      </w:r>
    </w:p>
    <w:p w14:paraId="6CE4BAE1" w14:textId="77777777" w:rsidR="002C4345" w:rsidRDefault="002C4345" w:rsidP="002C4345">
      <w:pPr>
        <w:pStyle w:val="SOWParagraph"/>
      </w:pPr>
    </w:p>
    <w:p w14:paraId="1DE2393C" w14:textId="3F39A502" w:rsidR="00F63B62" w:rsidRDefault="002C4345" w:rsidP="001A32C4">
      <w:pPr>
        <w:pStyle w:val="SOWParagraph"/>
      </w:pPr>
      <w:r>
        <w:t>Work include</w:t>
      </w:r>
      <w:r w:rsidR="001A32C4">
        <w:t>s</w:t>
      </w:r>
      <w:r>
        <w:t xml:space="preserve"> selective demolition of existing interior construction, finishes and modifications to supply and tool rooms.  Also included is modifying the existing SAPF to bring up to new ICD 705 standards and converting the other SAPF into a SCIF to house the 33 FW Intel function.  Additionally, this project includes performing maintenance on the 270 VDC power system in the hangars to ensure the power system working properly.   </w:t>
      </w:r>
    </w:p>
    <w:p w14:paraId="0ABA7111" w14:textId="77777777" w:rsidR="00F63B62" w:rsidRPr="00F63B62" w:rsidRDefault="00F63B62" w:rsidP="00F63B62">
      <w:pPr>
        <w:pStyle w:val="SOWParagraph"/>
      </w:pPr>
    </w:p>
    <w:p w14:paraId="2D904A7B" w14:textId="3F50558A" w:rsidR="00F63B62" w:rsidRDefault="003975B3" w:rsidP="00F63B62">
      <w:pPr>
        <w:pStyle w:val="SOWParagraph"/>
      </w:pPr>
      <w:r>
        <w:t xml:space="preserve">Project was designed by </w:t>
      </w:r>
      <w:r w:rsidR="001A32C4">
        <w:t>Bullock Tice Associates, Inc.</w:t>
      </w:r>
      <w:r>
        <w:t xml:space="preserve"> on </w:t>
      </w:r>
      <w:r w:rsidR="00841D22">
        <w:t>12</w:t>
      </w:r>
      <w:r w:rsidR="001A32C4">
        <w:t xml:space="preserve"> February 2021</w:t>
      </w:r>
      <w:r>
        <w:t>.</w:t>
      </w:r>
    </w:p>
    <w:p w14:paraId="029DC070" w14:textId="77777777" w:rsidR="00F36BC2" w:rsidRDefault="00F36BC2" w:rsidP="00F36BC2">
      <w:pPr>
        <w:pStyle w:val="Heading1"/>
        <w:numPr>
          <w:ilvl w:val="0"/>
          <w:numId w:val="2"/>
        </w:numPr>
      </w:pPr>
      <w:bookmarkStart w:id="2" w:name="_Toc66703501"/>
      <w:r>
        <w:t>Contractor Quality</w:t>
      </w:r>
      <w:bookmarkEnd w:id="2"/>
    </w:p>
    <w:p w14:paraId="78EC2B3A" w14:textId="77777777" w:rsidR="00F36BC2" w:rsidRDefault="00F36BC2" w:rsidP="00F36BC2">
      <w:pPr>
        <w:pStyle w:val="SOWParagraph"/>
        <w:rPr>
          <w:color w:val="FF0000"/>
        </w:rPr>
      </w:pPr>
      <w:r w:rsidRPr="00044140">
        <w:t xml:space="preserve">The Contractor is responsible for the </w:t>
      </w:r>
      <w:r w:rsidR="00044140" w:rsidRPr="00044140">
        <w:t>quality of construction for</w:t>
      </w:r>
      <w:r w:rsidRPr="00044140">
        <w:t xml:space="preserve"> all</w:t>
      </w:r>
      <w:r w:rsidR="00044140" w:rsidRPr="00044140">
        <w:t xml:space="preserve"> phases of</w:t>
      </w:r>
      <w:r w:rsidRPr="00044140">
        <w:t xml:space="preserve"> work</w:t>
      </w:r>
      <w:r w:rsidRPr="00F36BC2">
        <w:rPr>
          <w:color w:val="FF0000"/>
        </w:rPr>
        <w:t xml:space="preserve">. </w:t>
      </w:r>
    </w:p>
    <w:p w14:paraId="1743462A" w14:textId="77777777" w:rsidR="00044140" w:rsidRDefault="00044140" w:rsidP="00044140">
      <w:pPr>
        <w:pStyle w:val="SOWParagraph"/>
      </w:pPr>
    </w:p>
    <w:p w14:paraId="0AE767A4" w14:textId="77777777" w:rsidR="00044140" w:rsidRDefault="00044140" w:rsidP="00044140">
      <w:pPr>
        <w:pStyle w:val="SOWParagraph"/>
      </w:pPr>
      <w:r>
        <w:t>Establish and maintain an effective quality control (QC) system. QC consists of plans, procedures, and organization necessary to produce an end product which complies with the contract requirements. Cover all construction operations, both onsite and offsite, and be keyed to the proposed construction sequence. The project superintendent will be held responsible for the quality of work and is subject to removal by the Contracting Officer for non-compliance with the quality requirements specified in the contract. In this context the highest level manager responsible for the overall construction activities at the site, including quality and production is the project superintendent. The project superintendent must maintain a physical presence at the site at all times and is responsible for all construction and related activities at the site, except as otherwise acceptable to the Contracting Officer.</w:t>
      </w:r>
    </w:p>
    <w:p w14:paraId="6A7FC2C3" w14:textId="77777777" w:rsidR="00F36BC2" w:rsidRDefault="00F36BC2" w:rsidP="0011549A">
      <w:pPr>
        <w:pStyle w:val="Heading1"/>
        <w:numPr>
          <w:ilvl w:val="0"/>
          <w:numId w:val="2"/>
        </w:numPr>
      </w:pPr>
      <w:bookmarkStart w:id="3" w:name="_Toc66703502"/>
      <w:r>
        <w:t>Safety</w:t>
      </w:r>
      <w:bookmarkEnd w:id="3"/>
      <w:r>
        <w:t xml:space="preserve"> </w:t>
      </w:r>
    </w:p>
    <w:p w14:paraId="425F97EB" w14:textId="77777777" w:rsidR="00F36BC2" w:rsidRPr="004E5E2F" w:rsidRDefault="00F36BC2" w:rsidP="00F36BC2">
      <w:pPr>
        <w:pStyle w:val="SOWParagraph"/>
      </w:pPr>
      <w:r>
        <w:t>Refer to Specification 01 35 26 Governmental Safety Requirements.</w:t>
      </w:r>
    </w:p>
    <w:p w14:paraId="6853ED7B" w14:textId="77777777" w:rsidR="0011549A" w:rsidRDefault="0011549A" w:rsidP="0011549A">
      <w:pPr>
        <w:pStyle w:val="Heading1"/>
        <w:numPr>
          <w:ilvl w:val="0"/>
          <w:numId w:val="2"/>
        </w:numPr>
      </w:pPr>
      <w:bookmarkStart w:id="4" w:name="_Toc66703503"/>
      <w:r>
        <w:t>Submittals</w:t>
      </w:r>
      <w:bookmarkEnd w:id="4"/>
    </w:p>
    <w:p w14:paraId="76CA8316" w14:textId="77777777" w:rsidR="001E69FD" w:rsidRDefault="001E69FD" w:rsidP="001E69FD">
      <w:pPr>
        <w:pStyle w:val="SOWParagraph"/>
      </w:pPr>
      <w:r>
        <w:t xml:space="preserve">Refer to Specification </w:t>
      </w:r>
      <w:r w:rsidR="004E5E2F">
        <w:t>01 33 00 Submittal Procedures.</w:t>
      </w:r>
      <w:r w:rsidR="003659D4">
        <w:t xml:space="preserve"> </w:t>
      </w:r>
    </w:p>
    <w:p w14:paraId="5213E96A" w14:textId="77777777" w:rsidR="0011549A" w:rsidRDefault="0011549A" w:rsidP="0011549A">
      <w:pPr>
        <w:pStyle w:val="Heading1"/>
        <w:numPr>
          <w:ilvl w:val="0"/>
          <w:numId w:val="2"/>
        </w:numPr>
      </w:pPr>
      <w:bookmarkStart w:id="5" w:name="_Toc66703504"/>
      <w:r>
        <w:t>Schedule</w:t>
      </w:r>
      <w:bookmarkEnd w:id="5"/>
    </w:p>
    <w:p w14:paraId="60EE5C40" w14:textId="38B09197" w:rsidR="004E5E2F" w:rsidRDefault="004E5E2F" w:rsidP="004E5E2F">
      <w:pPr>
        <w:pStyle w:val="SOWParagraph"/>
      </w:pPr>
      <w:r>
        <w:t xml:space="preserve">Refer to Specification 01 32 01.00 10 Project Schedule. </w:t>
      </w:r>
    </w:p>
    <w:p w14:paraId="68CE2BAA" w14:textId="27307ACB" w:rsidR="00A43399" w:rsidRDefault="00A43399" w:rsidP="00A43399">
      <w:pPr>
        <w:pStyle w:val="SOWParagraph"/>
      </w:pPr>
    </w:p>
    <w:p w14:paraId="09E392A5" w14:textId="4D951C0A" w:rsidR="00A43399" w:rsidRPr="00A43399" w:rsidRDefault="00A43399" w:rsidP="00A43399">
      <w:pPr>
        <w:pStyle w:val="SOWParagraph"/>
        <w:rPr>
          <w:b/>
          <w:u w:val="single"/>
        </w:rPr>
      </w:pPr>
      <w:r w:rsidRPr="00A43399">
        <w:rPr>
          <w:b/>
          <w:u w:val="single"/>
        </w:rPr>
        <w:t>Critical Milestones:</w:t>
      </w:r>
    </w:p>
    <w:p w14:paraId="1E4A8244" w14:textId="680B4A8C" w:rsidR="00A43399" w:rsidRDefault="00A43399" w:rsidP="00A43399">
      <w:pPr>
        <w:pStyle w:val="SOWParagraph"/>
      </w:pPr>
      <w:r>
        <w:t xml:space="preserve">The work shall be completed in two phases as shown on the drawings. Phase I will include all work with the exception of the east </w:t>
      </w:r>
      <w:r w:rsidRPr="00BF370E">
        <w:t>SA</w:t>
      </w:r>
      <w:r w:rsidR="0036484F" w:rsidRPr="00BF370E">
        <w:t>P</w:t>
      </w:r>
      <w:r w:rsidRPr="00BF370E">
        <w:t>F</w:t>
      </w:r>
      <w:r>
        <w:t xml:space="preserve"> which will be completed during Phase II:</w:t>
      </w:r>
    </w:p>
    <w:p w14:paraId="5DA62629" w14:textId="4F2DD856" w:rsidR="00A43399" w:rsidRDefault="00A43399" w:rsidP="00A43399">
      <w:pPr>
        <w:pStyle w:val="SOWParagraph"/>
        <w:numPr>
          <w:ilvl w:val="0"/>
          <w:numId w:val="41"/>
        </w:numPr>
      </w:pPr>
      <w:r>
        <w:t xml:space="preserve">Phase I work </w:t>
      </w:r>
      <w:r w:rsidR="00841D22">
        <w:t>shall</w:t>
      </w:r>
      <w:r>
        <w:t xml:space="preserve"> begin May 1, 2021.</w:t>
      </w:r>
    </w:p>
    <w:p w14:paraId="02E14505" w14:textId="1E2807A2" w:rsidR="00A43399" w:rsidRDefault="00A43399" w:rsidP="00A43399">
      <w:pPr>
        <w:pStyle w:val="SOWParagraph"/>
        <w:numPr>
          <w:ilvl w:val="0"/>
          <w:numId w:val="42"/>
        </w:numPr>
      </w:pPr>
      <w:r>
        <w:t>All work in rooms 134/135 must be completed by June 15, 2021.</w:t>
      </w:r>
    </w:p>
    <w:p w14:paraId="00B98D93" w14:textId="19C11B14" w:rsidR="00A43399" w:rsidRDefault="00A43399" w:rsidP="00A43399">
      <w:pPr>
        <w:pStyle w:val="ListParagraph"/>
        <w:numPr>
          <w:ilvl w:val="0"/>
          <w:numId w:val="42"/>
        </w:numPr>
      </w:pPr>
      <w:r>
        <w:t>All work in the Supply &amp; Support area must be complete by July 15, 2021.</w:t>
      </w:r>
    </w:p>
    <w:p w14:paraId="2038809F" w14:textId="10F59C10" w:rsidR="00A43399" w:rsidRPr="00A43399" w:rsidRDefault="00A43399" w:rsidP="00A43399">
      <w:pPr>
        <w:pStyle w:val="ListParagraph"/>
        <w:numPr>
          <w:ilvl w:val="0"/>
          <w:numId w:val="42"/>
        </w:numPr>
      </w:pPr>
      <w:r>
        <w:lastRenderedPageBreak/>
        <w:t>By November 1, 2021 all phase I work must be complete.</w:t>
      </w:r>
    </w:p>
    <w:p w14:paraId="6C618984" w14:textId="48B95AD2" w:rsidR="00A43399" w:rsidRPr="00A43399" w:rsidRDefault="00A43399" w:rsidP="00A43399">
      <w:pPr>
        <w:pStyle w:val="SOWParagraph"/>
        <w:numPr>
          <w:ilvl w:val="0"/>
          <w:numId w:val="41"/>
        </w:numPr>
      </w:pPr>
      <w:r>
        <w:t xml:space="preserve">Phase II work will begin November 1, 2021. </w:t>
      </w:r>
    </w:p>
    <w:p w14:paraId="02909031" w14:textId="77777777" w:rsidR="0011549A" w:rsidRDefault="000A0703" w:rsidP="0011549A">
      <w:pPr>
        <w:pStyle w:val="Heading1"/>
        <w:numPr>
          <w:ilvl w:val="0"/>
          <w:numId w:val="2"/>
        </w:numPr>
      </w:pPr>
      <w:bookmarkStart w:id="6" w:name="_Toc66703505"/>
      <w:r>
        <w:t>Request For Information</w:t>
      </w:r>
      <w:bookmarkEnd w:id="6"/>
    </w:p>
    <w:p w14:paraId="7EF85C8C" w14:textId="77777777" w:rsidR="00135898" w:rsidRDefault="00135898" w:rsidP="00135898">
      <w:pPr>
        <w:pStyle w:val="SOWParagraph"/>
      </w:pPr>
      <w:r w:rsidRPr="00135898">
        <w:t>Submit a Request for Information (RFI) when questions arise concerning</w:t>
      </w:r>
      <w:r>
        <w:t xml:space="preserve"> </w:t>
      </w:r>
      <w:r w:rsidRPr="00135898">
        <w:t>interpretation, conflicts, omissions, errors, or regulatory violations</w:t>
      </w:r>
      <w:r>
        <w:t xml:space="preserve"> within the Contract Documents.</w:t>
      </w:r>
    </w:p>
    <w:p w14:paraId="19036245" w14:textId="77777777" w:rsidR="00135898" w:rsidRDefault="00135898" w:rsidP="00135898">
      <w:pPr>
        <w:pStyle w:val="SOWParagraph"/>
      </w:pPr>
    </w:p>
    <w:p w14:paraId="31DDC1C4" w14:textId="77777777" w:rsidR="00135898" w:rsidRDefault="00135898" w:rsidP="00135898">
      <w:pPr>
        <w:pStyle w:val="SOWParagraph"/>
      </w:pPr>
      <w:r>
        <w:t>Review all RFIs prior to submission to the Contracting Officer or Government’s Designated QA Representative. The General Contractor is responsible to have a thorough and working knowledge of the entire Contract Documents and to review their subcontractor’s and in-house RFIs for legitimacy and reasonableness. Do not forward questions to the Contracting Officer or Government’s Designated Representative that are easily answerable from a cursory review of the Contract Documents.</w:t>
      </w:r>
    </w:p>
    <w:p w14:paraId="235F47BC" w14:textId="77777777" w:rsidR="00135898" w:rsidRDefault="00135898" w:rsidP="00135898">
      <w:pPr>
        <w:pStyle w:val="SOWParagraph"/>
      </w:pPr>
    </w:p>
    <w:p w14:paraId="194FAE5F" w14:textId="48C960CC" w:rsidR="00135898" w:rsidRDefault="00135898" w:rsidP="00135898">
      <w:pPr>
        <w:pStyle w:val="SOWParagraph"/>
      </w:pPr>
      <w:r>
        <w:t xml:space="preserve">Allow </w:t>
      </w:r>
      <w:r w:rsidR="00316A8F" w:rsidRPr="00316A8F">
        <w:t>14</w:t>
      </w:r>
      <w:r w:rsidR="00316A8F">
        <w:rPr>
          <w:color w:val="FF0000"/>
        </w:rPr>
        <w:t xml:space="preserve"> </w:t>
      </w:r>
      <w:r>
        <w:t xml:space="preserve">calendar days for government review of the RFI. The Government will respond to all RFI's on the RFI form with the Contracting Officer’s signature. </w:t>
      </w:r>
      <w:r w:rsidR="00AA1276">
        <w:t xml:space="preserve"> </w:t>
      </w:r>
      <w:r>
        <w:t xml:space="preserve">If the response to the RFI does not involve a change to the contract, after receipt of the government response, proceed as if the answer to the RFI existed within the Contract Documents. </w:t>
      </w:r>
      <w:r w:rsidR="00AA1276">
        <w:t xml:space="preserve"> </w:t>
      </w:r>
      <w:r>
        <w:t>For RFIs where the government determines a change to the Contract price or time is appropriate, officially close the RFI and refer thereafter as a pending modification. Comply wit</w:t>
      </w:r>
      <w:r w:rsidR="00AA1276">
        <w:t xml:space="preserve">h the modification requirements. </w:t>
      </w:r>
    </w:p>
    <w:p w14:paraId="20E13965" w14:textId="77777777" w:rsidR="00AA1276" w:rsidRPr="00AA1276" w:rsidRDefault="00AA1276" w:rsidP="00F65DE2">
      <w:pPr>
        <w:pStyle w:val="SOWParagraph"/>
      </w:pPr>
    </w:p>
    <w:p w14:paraId="7B63AB15" w14:textId="77777777" w:rsidR="00135898" w:rsidRPr="00135898" w:rsidRDefault="00135898" w:rsidP="00135898">
      <w:pPr>
        <w:pStyle w:val="SOWParagraph"/>
      </w:pPr>
      <w:r>
        <w:t xml:space="preserve">Use the attached RFI form to submit RFI’s to the Contracting Officer. </w:t>
      </w:r>
      <w:r w:rsidR="003659D4">
        <w:t xml:space="preserve">For tracking purposes, submit an updated RFI tracking log with each new RFI. </w:t>
      </w:r>
    </w:p>
    <w:p w14:paraId="39A74B33" w14:textId="77777777" w:rsidR="000A0703" w:rsidRDefault="000A0703" w:rsidP="000A0703">
      <w:pPr>
        <w:pStyle w:val="Heading1"/>
        <w:numPr>
          <w:ilvl w:val="0"/>
          <w:numId w:val="2"/>
        </w:numPr>
      </w:pPr>
      <w:r>
        <w:t xml:space="preserve"> </w:t>
      </w:r>
      <w:bookmarkStart w:id="7" w:name="_Toc66703506"/>
      <w:r>
        <w:t>Meetings</w:t>
      </w:r>
      <w:bookmarkEnd w:id="7"/>
    </w:p>
    <w:p w14:paraId="61FCC60E" w14:textId="77777777" w:rsidR="00A17862" w:rsidRDefault="00A17862" w:rsidP="00A17862">
      <w:pPr>
        <w:pStyle w:val="SOWParagraph"/>
      </w:pPr>
    </w:p>
    <w:p w14:paraId="394701D2" w14:textId="77777777" w:rsidR="009E56BD" w:rsidRPr="00A17862" w:rsidRDefault="009E56BD" w:rsidP="00A17862">
      <w:pPr>
        <w:pStyle w:val="SOWParagraph"/>
        <w:rPr>
          <w:b/>
        </w:rPr>
      </w:pPr>
      <w:r w:rsidRPr="00A17862">
        <w:rPr>
          <w:b/>
        </w:rPr>
        <w:t>Progress Meetings</w:t>
      </w:r>
    </w:p>
    <w:p w14:paraId="741D9CFE" w14:textId="77777777" w:rsidR="00A17862" w:rsidRDefault="00A17862" w:rsidP="009E56BD">
      <w:pPr>
        <w:pStyle w:val="SOWParagraph"/>
      </w:pPr>
    </w:p>
    <w:p w14:paraId="2F1CB5F5" w14:textId="77777777" w:rsidR="0081570F" w:rsidRDefault="0081570F" w:rsidP="009E56BD">
      <w:pPr>
        <w:pStyle w:val="SOWParagraph"/>
      </w:pPr>
      <w:r>
        <w:t>Contractor shall conduct progress meetings with the Government representative(s). Contractor shall have all participants at these conferences familiar with the project and authorized to conclude matters relating to the work. Contractor representatives shall include the required th</w:t>
      </w:r>
      <w:r w:rsidR="00177782">
        <w:t xml:space="preserve">e on-site staff. Agenda of progress meetings will include but not limited to: </w:t>
      </w:r>
    </w:p>
    <w:p w14:paraId="7B7D513D" w14:textId="77777777" w:rsidR="00177782" w:rsidRDefault="00177782" w:rsidP="00177782">
      <w:pPr>
        <w:pStyle w:val="SOWParagraph"/>
      </w:pPr>
      <w:r>
        <w:tab/>
        <w:t>1) Interface requirements.</w:t>
      </w:r>
    </w:p>
    <w:p w14:paraId="11A29E2E" w14:textId="77777777" w:rsidR="00177782" w:rsidRDefault="00177782" w:rsidP="00177782">
      <w:pPr>
        <w:pStyle w:val="SOWParagraph"/>
        <w:ind w:firstLine="720"/>
      </w:pPr>
      <w:r>
        <w:t>2) Time.</w:t>
      </w:r>
    </w:p>
    <w:p w14:paraId="269AF87E" w14:textId="77777777" w:rsidR="006E6DAF" w:rsidRDefault="006E6DAF" w:rsidP="00177782">
      <w:pPr>
        <w:pStyle w:val="SOWParagraph"/>
        <w:ind w:firstLine="720"/>
      </w:pPr>
      <w:r>
        <w:t>3) Progress Status</w:t>
      </w:r>
    </w:p>
    <w:p w14:paraId="223BD2F1" w14:textId="77777777" w:rsidR="006E6DAF" w:rsidRPr="006E6DAF" w:rsidRDefault="006E6DAF" w:rsidP="006E6DAF">
      <w:pPr>
        <w:pStyle w:val="SOWParagraph"/>
        <w:ind w:firstLine="720"/>
      </w:pPr>
      <w:r>
        <w:t>4) Two Weeks Look Ahead</w:t>
      </w:r>
    </w:p>
    <w:p w14:paraId="6C1820DE" w14:textId="77777777" w:rsidR="00177782" w:rsidRDefault="006E6DAF" w:rsidP="00177782">
      <w:pPr>
        <w:pStyle w:val="SOWParagraph"/>
        <w:ind w:firstLine="720"/>
      </w:pPr>
      <w:r>
        <w:t>5</w:t>
      </w:r>
      <w:r w:rsidR="00177782">
        <w:t>) Sequences.</w:t>
      </w:r>
    </w:p>
    <w:p w14:paraId="74B1E320" w14:textId="77777777" w:rsidR="00177782" w:rsidRDefault="006E6DAF" w:rsidP="00177782">
      <w:pPr>
        <w:pStyle w:val="SOWParagraph"/>
        <w:ind w:firstLine="720"/>
      </w:pPr>
      <w:r>
        <w:t>6</w:t>
      </w:r>
      <w:r w:rsidR="00177782">
        <w:t>) Status of submittals.</w:t>
      </w:r>
    </w:p>
    <w:p w14:paraId="676333D7" w14:textId="77777777" w:rsidR="00177782" w:rsidRDefault="006E6DAF" w:rsidP="00177782">
      <w:pPr>
        <w:pStyle w:val="SOWParagraph"/>
        <w:ind w:firstLine="720"/>
      </w:pPr>
      <w:r>
        <w:t>7</w:t>
      </w:r>
      <w:r w:rsidR="00177782">
        <w:t>) Status of LEED documentation.</w:t>
      </w:r>
    </w:p>
    <w:p w14:paraId="63C8AAA0" w14:textId="77777777" w:rsidR="00177782" w:rsidRDefault="006E6DAF" w:rsidP="00177782">
      <w:pPr>
        <w:pStyle w:val="SOWParagraph"/>
        <w:ind w:firstLine="720"/>
      </w:pPr>
      <w:r>
        <w:t>8</w:t>
      </w:r>
      <w:r w:rsidR="00177782">
        <w:t>) Deliveries.</w:t>
      </w:r>
    </w:p>
    <w:p w14:paraId="2446AF11" w14:textId="77777777" w:rsidR="00177782" w:rsidRDefault="006E6DAF" w:rsidP="00177782">
      <w:pPr>
        <w:pStyle w:val="SOWParagraph"/>
        <w:ind w:firstLine="720"/>
      </w:pPr>
      <w:r>
        <w:t>9</w:t>
      </w:r>
      <w:r w:rsidR="00177782">
        <w:t>) Off-site fabrication problems.</w:t>
      </w:r>
    </w:p>
    <w:p w14:paraId="46B6EB14" w14:textId="77777777" w:rsidR="00177782" w:rsidRDefault="006E6DAF" w:rsidP="00177782">
      <w:pPr>
        <w:pStyle w:val="SOWParagraph"/>
        <w:ind w:firstLine="720"/>
      </w:pPr>
      <w:r>
        <w:lastRenderedPageBreak/>
        <w:t>10</w:t>
      </w:r>
      <w:r w:rsidR="00177782">
        <w:t>) Access.</w:t>
      </w:r>
    </w:p>
    <w:p w14:paraId="7265382D" w14:textId="77777777" w:rsidR="00177782" w:rsidRDefault="006E6DAF" w:rsidP="00177782">
      <w:pPr>
        <w:pStyle w:val="SOWParagraph"/>
        <w:ind w:firstLine="720"/>
      </w:pPr>
      <w:r>
        <w:t>11</w:t>
      </w:r>
      <w:r w:rsidR="00177782">
        <w:t>) Site utilization.</w:t>
      </w:r>
    </w:p>
    <w:p w14:paraId="3029155A" w14:textId="77777777" w:rsidR="00177782" w:rsidRDefault="00177782" w:rsidP="00177782">
      <w:pPr>
        <w:pStyle w:val="SOWParagraph"/>
        <w:ind w:firstLine="720"/>
      </w:pPr>
      <w:r>
        <w:t>1</w:t>
      </w:r>
      <w:r w:rsidR="006E6DAF">
        <w:t>2</w:t>
      </w:r>
      <w:r>
        <w:t>) Temporary facilities and services.</w:t>
      </w:r>
    </w:p>
    <w:p w14:paraId="3324F30A" w14:textId="77777777" w:rsidR="00177782" w:rsidRDefault="00177782" w:rsidP="00177782">
      <w:pPr>
        <w:pStyle w:val="SOWParagraph"/>
        <w:ind w:firstLine="720"/>
      </w:pPr>
      <w:r>
        <w:t>1</w:t>
      </w:r>
      <w:r w:rsidR="006E6DAF">
        <w:t>3</w:t>
      </w:r>
      <w:r>
        <w:t>) Hours of work.</w:t>
      </w:r>
    </w:p>
    <w:p w14:paraId="2B8C9C34" w14:textId="77777777" w:rsidR="00177782" w:rsidRDefault="00177782" w:rsidP="00177782">
      <w:pPr>
        <w:pStyle w:val="SOWParagraph"/>
        <w:ind w:firstLine="720"/>
      </w:pPr>
      <w:r>
        <w:t>1</w:t>
      </w:r>
      <w:r w:rsidR="006E6DAF">
        <w:t>4</w:t>
      </w:r>
      <w:r>
        <w:t>) Hazards and risks.</w:t>
      </w:r>
    </w:p>
    <w:p w14:paraId="4C513B00" w14:textId="77777777" w:rsidR="00177782" w:rsidRDefault="00177782" w:rsidP="00177782">
      <w:pPr>
        <w:pStyle w:val="SOWParagraph"/>
        <w:ind w:firstLine="720"/>
      </w:pPr>
      <w:r>
        <w:t>1</w:t>
      </w:r>
      <w:r w:rsidR="006E6DAF">
        <w:t>5</w:t>
      </w:r>
      <w:r>
        <w:t>) Housekeeping.</w:t>
      </w:r>
    </w:p>
    <w:p w14:paraId="63514D1C" w14:textId="77777777" w:rsidR="00177782" w:rsidRDefault="00177782" w:rsidP="00177782">
      <w:pPr>
        <w:pStyle w:val="SOWParagraph"/>
        <w:ind w:firstLine="720"/>
      </w:pPr>
      <w:r>
        <w:t>1</w:t>
      </w:r>
      <w:r w:rsidR="006E6DAF">
        <w:t>6</w:t>
      </w:r>
      <w:r>
        <w:t>) Quality and work standards.</w:t>
      </w:r>
    </w:p>
    <w:p w14:paraId="41080A68" w14:textId="77777777" w:rsidR="00177782" w:rsidRDefault="00177782" w:rsidP="00177782">
      <w:pPr>
        <w:pStyle w:val="SOWParagraph"/>
        <w:ind w:firstLine="720"/>
      </w:pPr>
      <w:r>
        <w:t>1</w:t>
      </w:r>
      <w:r w:rsidR="006E6DAF">
        <w:t>7</w:t>
      </w:r>
      <w:r>
        <w:t>) Changes to the contract.</w:t>
      </w:r>
    </w:p>
    <w:p w14:paraId="6C840C73" w14:textId="77777777" w:rsidR="00177782" w:rsidRDefault="00177782" w:rsidP="00177782">
      <w:pPr>
        <w:pStyle w:val="SOWParagraph"/>
        <w:ind w:firstLine="720"/>
      </w:pPr>
      <w:r>
        <w:t>1</w:t>
      </w:r>
      <w:r w:rsidR="006E6DAF">
        <w:t>8</w:t>
      </w:r>
      <w:r>
        <w:t>) Documentation of information for payment requests.</w:t>
      </w:r>
    </w:p>
    <w:p w14:paraId="20DE7B5C" w14:textId="77777777" w:rsidR="00177782" w:rsidRDefault="00177782" w:rsidP="00177782">
      <w:pPr>
        <w:pStyle w:val="SOWParagraph"/>
        <w:ind w:firstLine="720"/>
      </w:pPr>
      <w:r>
        <w:t>1</w:t>
      </w:r>
      <w:r w:rsidR="006E6DAF">
        <w:t>9</w:t>
      </w:r>
      <w:r>
        <w:t>) Short Interval Schedule (SIS).</w:t>
      </w:r>
    </w:p>
    <w:p w14:paraId="122F3B56" w14:textId="77777777" w:rsidR="00177782" w:rsidRDefault="006E6DAF" w:rsidP="00177782">
      <w:pPr>
        <w:pStyle w:val="SOWParagraph"/>
        <w:ind w:firstLine="720"/>
      </w:pPr>
      <w:r>
        <w:t>20</w:t>
      </w:r>
      <w:r w:rsidR="00177782">
        <w:t>) Status of RFI’s.</w:t>
      </w:r>
    </w:p>
    <w:p w14:paraId="39040D96" w14:textId="77777777" w:rsidR="00177782" w:rsidRDefault="006E6DAF" w:rsidP="00177782">
      <w:pPr>
        <w:pStyle w:val="SOWParagraph"/>
        <w:ind w:firstLine="720"/>
      </w:pPr>
      <w:r>
        <w:t>21</w:t>
      </w:r>
      <w:r w:rsidR="00177782">
        <w:t>) Safety.</w:t>
      </w:r>
    </w:p>
    <w:p w14:paraId="6B8A07EF" w14:textId="77777777" w:rsidR="00177782" w:rsidRDefault="00177782" w:rsidP="00177782">
      <w:pPr>
        <w:pStyle w:val="SOWParagraph"/>
        <w:ind w:firstLine="720"/>
      </w:pPr>
      <w:r>
        <w:t>2</w:t>
      </w:r>
      <w:r w:rsidR="006E6DAF">
        <w:t>2</w:t>
      </w:r>
      <w:r>
        <w:t>) Other topics as required.</w:t>
      </w:r>
    </w:p>
    <w:p w14:paraId="295F50DD" w14:textId="77777777" w:rsidR="00177782" w:rsidRDefault="00177782" w:rsidP="0081570F">
      <w:pPr>
        <w:pStyle w:val="SOWParagraph"/>
      </w:pPr>
      <w:r>
        <w:t xml:space="preserve">Provide minutes for the prior week’s progress meeting prior to each new weekly meeting. No later than 3 days after each meeting, distribute minutes of the meeting to each party present and to parties who should have been present. Include a brief summary, in narrative form, of progress since the previous meeting and report. </w:t>
      </w:r>
    </w:p>
    <w:p w14:paraId="48ADFDA2" w14:textId="77777777" w:rsidR="00A17862" w:rsidRDefault="00A17862" w:rsidP="00A17862">
      <w:pPr>
        <w:pStyle w:val="SOWParagraph"/>
      </w:pPr>
    </w:p>
    <w:p w14:paraId="55E81767" w14:textId="77777777" w:rsidR="009E56BD" w:rsidRPr="00A17862" w:rsidRDefault="009E56BD" w:rsidP="00A17862">
      <w:pPr>
        <w:pStyle w:val="SOWParagraph"/>
        <w:rPr>
          <w:b/>
        </w:rPr>
      </w:pPr>
      <w:r w:rsidRPr="00A17862">
        <w:rPr>
          <w:b/>
        </w:rPr>
        <w:t>Red Zone Meeting</w:t>
      </w:r>
    </w:p>
    <w:p w14:paraId="43D6A54E" w14:textId="77777777" w:rsidR="00A17862" w:rsidRDefault="00A17862" w:rsidP="009E56BD">
      <w:pPr>
        <w:pStyle w:val="SOWParagraph"/>
      </w:pPr>
    </w:p>
    <w:p w14:paraId="1C9087D7" w14:textId="77777777" w:rsidR="009E56BD" w:rsidRDefault="009E56BD" w:rsidP="009E56BD">
      <w:pPr>
        <w:pStyle w:val="SOWParagraph"/>
      </w:pPr>
      <w:r>
        <w:t>A pre-initial Red Zone meeting will be held to build a schedule of events necessary to achieve project and fiscal completion within 120 days of the Project Beneficial Occupancy Date (BOD). The initial meeting identifies key project milestones, responsibilities, and target task completion dates. Particular attention must be given to the BOD date. The initial Red Zone meeting is held approximately 60 days prior to BOD.</w:t>
      </w:r>
    </w:p>
    <w:p w14:paraId="6FB80929" w14:textId="77777777" w:rsidR="009E56BD" w:rsidRDefault="009E56BD" w:rsidP="009E56BD">
      <w:pPr>
        <w:pStyle w:val="SOWParagraph"/>
      </w:pPr>
    </w:p>
    <w:p w14:paraId="024463BB" w14:textId="77777777" w:rsidR="009E56BD" w:rsidRDefault="009E56BD" w:rsidP="009E56BD">
      <w:pPr>
        <w:pStyle w:val="SOWParagraph"/>
      </w:pPr>
      <w:r>
        <w:t>There are three objectives to the initial meeting:</w:t>
      </w:r>
    </w:p>
    <w:p w14:paraId="14B2BDE6" w14:textId="77777777" w:rsidR="009E56BD" w:rsidRDefault="009E56BD" w:rsidP="009E56BD">
      <w:pPr>
        <w:pStyle w:val="SOWParagraph"/>
        <w:numPr>
          <w:ilvl w:val="0"/>
          <w:numId w:val="37"/>
        </w:numPr>
      </w:pPr>
      <w:r>
        <w:t>Representatives responsible for specific remaining tasks must be identified and be in attendance at the meeting.</w:t>
      </w:r>
    </w:p>
    <w:p w14:paraId="282BE68B" w14:textId="77777777" w:rsidR="009E56BD" w:rsidRDefault="009E56BD" w:rsidP="009E56BD">
      <w:pPr>
        <w:pStyle w:val="SOWParagraph"/>
      </w:pPr>
    </w:p>
    <w:p w14:paraId="37381FA3" w14:textId="77777777" w:rsidR="009E56BD" w:rsidRDefault="009E56BD" w:rsidP="009E56BD">
      <w:pPr>
        <w:pStyle w:val="SOWParagraph"/>
      </w:pPr>
      <w:r>
        <w:t>2) Representatives in attendance must be able to fully identify remaining work necessary to complete their portion of the scope.</w:t>
      </w:r>
    </w:p>
    <w:p w14:paraId="7F229271" w14:textId="77777777" w:rsidR="009E56BD" w:rsidRDefault="009E56BD" w:rsidP="009E56BD">
      <w:pPr>
        <w:pStyle w:val="SOWParagraph"/>
      </w:pPr>
    </w:p>
    <w:p w14:paraId="6C58FE45" w14:textId="77777777" w:rsidR="009E56BD" w:rsidRDefault="009E56BD" w:rsidP="009E56BD">
      <w:pPr>
        <w:pStyle w:val="SOWParagraph"/>
      </w:pPr>
      <w:r>
        <w:t>3) Representatives must commit to finishing the task they are responsible for by the agreed date.</w:t>
      </w:r>
    </w:p>
    <w:p w14:paraId="2D1F9BC6" w14:textId="77777777" w:rsidR="009E56BD" w:rsidRPr="009E56BD" w:rsidRDefault="009E56BD" w:rsidP="009E56BD">
      <w:pPr>
        <w:pStyle w:val="SOWParagraph"/>
      </w:pPr>
    </w:p>
    <w:p w14:paraId="30A7B467" w14:textId="77777777" w:rsidR="009E56BD" w:rsidRDefault="009E56BD" w:rsidP="009E56BD">
      <w:pPr>
        <w:pStyle w:val="SOWParagraph"/>
      </w:pPr>
      <w:r>
        <w:t>The objective of each follow on weekly meeting is to discuss and record actual progress of each task. If a specific task appears to be slipping or occurs earlier than the completion date; means methods and resources will be discussed, identified, and committed to maintain the Red Zone Schedule. The impact to related activities is determined and discussed. The entire team is notified of the potentia</w:t>
      </w:r>
      <w:r w:rsidR="003659D4">
        <w:t>l impact to the remaining work.</w:t>
      </w:r>
      <w:r>
        <w:t xml:space="preserve"> Contractor representatives shall include the required the on-site staff.</w:t>
      </w:r>
    </w:p>
    <w:p w14:paraId="2CC0931C" w14:textId="77777777" w:rsidR="00FB2AEE" w:rsidRDefault="00FB2AEE" w:rsidP="00FB2AEE">
      <w:pPr>
        <w:pStyle w:val="Heading1"/>
        <w:numPr>
          <w:ilvl w:val="0"/>
          <w:numId w:val="2"/>
        </w:numPr>
      </w:pPr>
      <w:bookmarkStart w:id="8" w:name="_Toc66703507"/>
      <w:r>
        <w:lastRenderedPageBreak/>
        <w:t>Temporary Facilities</w:t>
      </w:r>
      <w:r w:rsidR="0081570F">
        <w:t xml:space="preserve"> and Work Area</w:t>
      </w:r>
      <w:bookmarkEnd w:id="8"/>
    </w:p>
    <w:p w14:paraId="72D85BC8" w14:textId="77777777" w:rsidR="0081570F" w:rsidRPr="00A43399" w:rsidRDefault="0081570F" w:rsidP="0081570F">
      <w:pPr>
        <w:pStyle w:val="SOWParagraph"/>
      </w:pPr>
      <w:r w:rsidRPr="00A43399">
        <w:t xml:space="preserve">Temporary Facilities: </w:t>
      </w:r>
      <w:r w:rsidR="003659D4" w:rsidRPr="00A43399">
        <w:t>Refer to Specification 01 57 19.</w:t>
      </w:r>
    </w:p>
    <w:p w14:paraId="7145F3DA" w14:textId="77777777" w:rsidR="0081570F" w:rsidRPr="00A43399" w:rsidRDefault="0081570F" w:rsidP="009E56BD">
      <w:pPr>
        <w:pStyle w:val="SOWParagraph"/>
      </w:pPr>
    </w:p>
    <w:p w14:paraId="23A8D720" w14:textId="77777777" w:rsidR="0081570F" w:rsidRDefault="0081570F" w:rsidP="0081570F">
      <w:pPr>
        <w:pStyle w:val="SOWParagraph"/>
      </w:pPr>
      <w:r w:rsidRPr="00A43399">
        <w:t xml:space="preserve">Designated work area: </w:t>
      </w:r>
      <w:r w:rsidR="003659D4" w:rsidRPr="00A43399">
        <w:t>Refer to Specification 01 57 19.</w:t>
      </w:r>
    </w:p>
    <w:p w14:paraId="1F51B3E1" w14:textId="77777777" w:rsidR="00D35039" w:rsidRDefault="00D35039" w:rsidP="00D35039">
      <w:pPr>
        <w:pStyle w:val="SOWParagraph"/>
      </w:pPr>
    </w:p>
    <w:p w14:paraId="1C6E7CA2" w14:textId="77777777" w:rsidR="00D35039" w:rsidRDefault="00D35039" w:rsidP="00D35039">
      <w:pPr>
        <w:pStyle w:val="SOWParagraph"/>
      </w:pPr>
      <w:r>
        <w:t>Additionally, regarding temporary facilities, provide and maintain within the construction area minimum field type sanitary facilities approved by the Contracting Officer and periodically empty wastes into a municipal, district, or station sanitary sewage system, or remove waste to a commercial facility. Obtain approval from the system owner prior to discharge into any municipal, district, or commercial sanitary sewer system. Any penalties and / or fines associated with improper discharge will be the responsibility of the Contractor. Coordinate with the Contracting Officer and follow station regulations and procedures when discharging into the station sanitary sewer system. Maintain these conveniences at all times without nuisance. Include provisions for pest control and elimination of odors. Government toilet facilities will not be available to Contractor's personnel.</w:t>
      </w:r>
    </w:p>
    <w:p w14:paraId="55B007AD" w14:textId="77777777" w:rsidR="00D35039" w:rsidRDefault="00D35039" w:rsidP="00D35039">
      <w:pPr>
        <w:pStyle w:val="SOWParagraph"/>
      </w:pPr>
    </w:p>
    <w:p w14:paraId="5D2353DC" w14:textId="77777777" w:rsidR="00D35039" w:rsidRDefault="00D35039" w:rsidP="00D35039">
      <w:pPr>
        <w:pStyle w:val="SOWParagraph"/>
      </w:pPr>
      <w:r>
        <w:t>Provide temporary fire protection equipment for the protection of personnel and property during construction. Remove debris and flammable materials daily to minimize potential hazards.</w:t>
      </w:r>
    </w:p>
    <w:p w14:paraId="2F54FADC" w14:textId="77777777" w:rsidR="00E77B32" w:rsidRDefault="00E77B32" w:rsidP="00E77B32">
      <w:pPr>
        <w:pStyle w:val="SOWParagraph"/>
      </w:pPr>
    </w:p>
    <w:p w14:paraId="6A289EE3" w14:textId="3171F278" w:rsidR="00E77B32" w:rsidRPr="00E77B32" w:rsidRDefault="00E77B32" w:rsidP="00E77B32">
      <w:pPr>
        <w:pStyle w:val="SOWParagraph"/>
      </w:pPr>
    </w:p>
    <w:p w14:paraId="336469EB" w14:textId="77777777" w:rsidR="00FB2AEE" w:rsidRDefault="00044140" w:rsidP="00951B86">
      <w:pPr>
        <w:pStyle w:val="Heading1"/>
        <w:numPr>
          <w:ilvl w:val="0"/>
          <w:numId w:val="2"/>
        </w:numPr>
      </w:pPr>
      <w:bookmarkStart w:id="9" w:name="_Toc66703508"/>
      <w:r>
        <w:t>Cranes</w:t>
      </w:r>
      <w:bookmarkEnd w:id="9"/>
    </w:p>
    <w:p w14:paraId="2E403516" w14:textId="77777777" w:rsidR="00FB2AEE" w:rsidRDefault="00D90485" w:rsidP="00FB2AEE">
      <w:pPr>
        <w:pStyle w:val="SOWParagraph"/>
      </w:pPr>
      <w:r>
        <w:t>If applicable, a</w:t>
      </w:r>
      <w:r w:rsidR="00FB2AEE" w:rsidRPr="00FB2AEE">
        <w:t>ll cranes used by the Contractor for construction purposes will require</w:t>
      </w:r>
      <w:r w:rsidR="00FB2AEE">
        <w:t xml:space="preserve"> </w:t>
      </w:r>
      <w:r w:rsidR="00FB2AEE" w:rsidRPr="00FB2AEE">
        <w:t>written acceptance for their use by the Contracting Officer's</w:t>
      </w:r>
      <w:r w:rsidR="00FB2AEE">
        <w:t xml:space="preserve"> </w:t>
      </w:r>
      <w:r w:rsidR="00FB2AEE" w:rsidRPr="00FB2AEE">
        <w:t>Representative. All requests shall be made seven (7) days in advance of the</w:t>
      </w:r>
      <w:r w:rsidR="00FB2AEE">
        <w:t xml:space="preserve"> </w:t>
      </w:r>
      <w:r w:rsidR="00FB2AEE" w:rsidRPr="00FB2AEE">
        <w:t>crane's arrival on the job site and shall include such information as</w:t>
      </w:r>
      <w:r w:rsidR="00FB2AEE">
        <w:t xml:space="preserve"> </w:t>
      </w:r>
      <w:r w:rsidR="00FB2AEE" w:rsidRPr="00FB2AEE">
        <w:t>latitude and longitude of the crane location, total operating height, mode</w:t>
      </w:r>
      <w:r w:rsidR="00FB2AEE">
        <w:t xml:space="preserve"> </w:t>
      </w:r>
      <w:r w:rsidR="00FB2AEE" w:rsidRPr="00FB2AEE">
        <w:t>of transportation and delivery to the project site, period of use and</w:t>
      </w:r>
      <w:r w:rsidR="00FB2AEE">
        <w:t xml:space="preserve"> </w:t>
      </w:r>
      <w:r w:rsidR="00FB2AEE" w:rsidRPr="00FB2AEE">
        <w:t>methods of conforming to all safety and airfield operations procedures</w:t>
      </w:r>
      <w:r w:rsidR="00D546AB">
        <w:t>.</w:t>
      </w:r>
    </w:p>
    <w:p w14:paraId="7041693A" w14:textId="77777777" w:rsidR="00D546AB" w:rsidRDefault="00D546AB" w:rsidP="00FB2AEE">
      <w:pPr>
        <w:pStyle w:val="SOWParagraph"/>
      </w:pPr>
    </w:p>
    <w:p w14:paraId="186EC6EA" w14:textId="77777777" w:rsidR="00FB2AEE" w:rsidRDefault="00D546AB" w:rsidP="00FB2AEE">
      <w:pPr>
        <w:pStyle w:val="SOWParagraph"/>
      </w:pPr>
      <w:r w:rsidRPr="00A43399">
        <w:t>For additional information regarding the use of cranes during construction, refer to Specification 01 35 26 and EM 385-1-1 (2014) Safety and Health Requirements Manual.</w:t>
      </w:r>
    </w:p>
    <w:p w14:paraId="46E96BFD" w14:textId="4FFBFE89" w:rsidR="009D6069" w:rsidRPr="00E9792B" w:rsidRDefault="009D6069" w:rsidP="009D6069">
      <w:pPr>
        <w:pStyle w:val="SOWParagraph"/>
        <w:rPr>
          <w:color w:val="FF0000"/>
        </w:rPr>
      </w:pPr>
    </w:p>
    <w:p w14:paraId="03E0B556" w14:textId="77777777" w:rsidR="009F1CF5" w:rsidRPr="0034026D" w:rsidRDefault="009F1CF5" w:rsidP="00951B86">
      <w:pPr>
        <w:pStyle w:val="Heading1"/>
        <w:numPr>
          <w:ilvl w:val="0"/>
          <w:numId w:val="2"/>
        </w:numPr>
      </w:pPr>
      <w:bookmarkStart w:id="10" w:name="_Toc66703509"/>
      <w:r w:rsidRPr="0034026D">
        <w:t>Utility Outages and Road Closures</w:t>
      </w:r>
      <w:bookmarkEnd w:id="10"/>
    </w:p>
    <w:p w14:paraId="5E995159" w14:textId="77777777" w:rsidR="004E5E2F" w:rsidRDefault="00E92D90" w:rsidP="004E5E2F">
      <w:pPr>
        <w:pStyle w:val="SOWParagraph"/>
      </w:pPr>
      <w:r>
        <w:t xml:space="preserve">Utility Outages: </w:t>
      </w:r>
      <w:r w:rsidR="003659D4">
        <w:t>Refer to Specification 01 11 00.</w:t>
      </w:r>
    </w:p>
    <w:p w14:paraId="3AD2AA82" w14:textId="77777777" w:rsidR="00E92D90" w:rsidRDefault="00E92D90" w:rsidP="00E92D90">
      <w:pPr>
        <w:pStyle w:val="SOWParagraph"/>
      </w:pPr>
    </w:p>
    <w:p w14:paraId="3EE41BA3" w14:textId="77777777" w:rsidR="00950C08" w:rsidRPr="00D90485" w:rsidRDefault="00E92D90" w:rsidP="00D90485">
      <w:pPr>
        <w:pStyle w:val="SOWParagraph"/>
      </w:pPr>
      <w:r>
        <w:t xml:space="preserve">Road Closures: </w:t>
      </w:r>
      <w:r w:rsidR="003659D4">
        <w:t>Refer to Specification 01 14 00.</w:t>
      </w:r>
      <w:r w:rsidR="00950C08" w:rsidRPr="00D90485">
        <w:rPr>
          <w:color w:val="FF0000"/>
        </w:rPr>
        <w:t xml:space="preserve"> </w:t>
      </w:r>
    </w:p>
    <w:p w14:paraId="500510F5" w14:textId="77777777" w:rsidR="009F1CF5" w:rsidRDefault="009F1CF5" w:rsidP="009F1CF5">
      <w:pPr>
        <w:pStyle w:val="Heading1"/>
        <w:numPr>
          <w:ilvl w:val="0"/>
          <w:numId w:val="2"/>
        </w:numPr>
      </w:pPr>
      <w:bookmarkStart w:id="11" w:name="_Toc66703510"/>
      <w:r>
        <w:lastRenderedPageBreak/>
        <w:t>Availability and Use of Utility Services</w:t>
      </w:r>
      <w:bookmarkEnd w:id="11"/>
    </w:p>
    <w:p w14:paraId="6D68718D" w14:textId="77777777" w:rsidR="00F65DE2" w:rsidRDefault="00F65DE2" w:rsidP="00F65DE2">
      <w:pPr>
        <w:pStyle w:val="SOWParagraph"/>
      </w:pPr>
      <w:r w:rsidRPr="00F65DE2">
        <w:t>Provide temporary utilities required for construction. Materials may be new</w:t>
      </w:r>
      <w:r>
        <w:t xml:space="preserve"> </w:t>
      </w:r>
      <w:r w:rsidRPr="00F65DE2">
        <w:t>or used, must be adequate for the required usage, not create unsafe</w:t>
      </w:r>
      <w:r>
        <w:t xml:space="preserve"> conditions, and not violate applicable codes and standards.</w:t>
      </w:r>
    </w:p>
    <w:p w14:paraId="5AD9134D" w14:textId="77777777" w:rsidR="00F65DE2" w:rsidRDefault="00F65DE2" w:rsidP="00762F24">
      <w:pPr>
        <w:pStyle w:val="SOWParagraph"/>
      </w:pPr>
    </w:p>
    <w:p w14:paraId="54C64C29" w14:textId="77777777" w:rsidR="00762F24" w:rsidRDefault="00762F24" w:rsidP="00D35039">
      <w:pPr>
        <w:pStyle w:val="SOWParagraph"/>
      </w:pPr>
      <w:r>
        <w:t>Existing utilities are available in the project area. The Contractor is responsible for providing all temporary utilities until permanent utility connections are made. The Contractor is responsible for providing all connections to existing utilities and metering. Contractor will provide temporary water supply for construction purposes.</w:t>
      </w:r>
    </w:p>
    <w:p w14:paraId="56649CE8" w14:textId="77777777" w:rsidR="00762F24" w:rsidRPr="00762F24" w:rsidRDefault="00762F24" w:rsidP="00762F24">
      <w:pPr>
        <w:pStyle w:val="SOWParagraph"/>
      </w:pPr>
    </w:p>
    <w:p w14:paraId="6CE44C37" w14:textId="77777777" w:rsidR="00762F24" w:rsidRDefault="00762F24" w:rsidP="00762F24">
      <w:pPr>
        <w:pStyle w:val="SOWParagraph"/>
      </w:pPr>
      <w:r w:rsidRPr="009B643B">
        <w:t>Contractor shall complete Utility Service Agreement with Eglin AFB if</w:t>
      </w:r>
      <w:r w:rsidR="00D35039" w:rsidRPr="009B643B">
        <w:t xml:space="preserve"> </w:t>
      </w:r>
      <w:r w:rsidRPr="009B643B">
        <w:t>temporary utilities are needed.</w:t>
      </w:r>
      <w:r w:rsidR="00D35039" w:rsidRPr="009B643B">
        <w:t xml:space="preserve"> </w:t>
      </w:r>
      <w:r>
        <w:t>Once utility connections are made, the amount of each utility service</w:t>
      </w:r>
    </w:p>
    <w:p w14:paraId="0D4CD551" w14:textId="25611389" w:rsidR="00762F24" w:rsidRDefault="00762F24" w:rsidP="00762F24">
      <w:pPr>
        <w:pStyle w:val="SOWParagraph"/>
      </w:pPr>
      <w:r>
        <w:t xml:space="preserve">consumed shall be charged to or paid for by the Contractor at </w:t>
      </w:r>
      <w:r w:rsidR="00841D22">
        <w:t>prevailing rates</w:t>
      </w:r>
      <w:r>
        <w:t xml:space="preserve"> charged to the Government, as indicated herein or, where the utility</w:t>
      </w:r>
      <w:r w:rsidR="00D35039">
        <w:t xml:space="preserve"> </w:t>
      </w:r>
      <w:r>
        <w:t>is produced by the Government, at reasonable rates determined by the</w:t>
      </w:r>
      <w:r w:rsidR="00D35039">
        <w:t xml:space="preserve"> </w:t>
      </w:r>
      <w:r>
        <w:t>Contracting Officer. The Contractor, at its expense and in a workmanlike</w:t>
      </w:r>
      <w:r w:rsidR="00D35039">
        <w:t xml:space="preserve"> </w:t>
      </w:r>
      <w:r>
        <w:t>manner satisfactory to the Contracting Officer, shall install and maintain</w:t>
      </w:r>
      <w:r w:rsidR="00D35039">
        <w:t xml:space="preserve"> </w:t>
      </w:r>
      <w:r>
        <w:t>all necessary temporary connections and distribution lines, and all meters</w:t>
      </w:r>
      <w:r w:rsidR="00D35039">
        <w:t xml:space="preserve"> </w:t>
      </w:r>
      <w:r>
        <w:t>required to measure the amount of each utility used for the purpose of</w:t>
      </w:r>
      <w:r w:rsidR="00D35039">
        <w:t xml:space="preserve"> </w:t>
      </w:r>
      <w:r>
        <w:t>determining charges. Before final acceptance of the work by the Government,</w:t>
      </w:r>
      <w:r w:rsidR="00D35039">
        <w:t xml:space="preserve"> </w:t>
      </w:r>
      <w:r>
        <w:t>the Contractor shall remove all the temporary connections, distribution</w:t>
      </w:r>
      <w:r w:rsidR="00D35039">
        <w:t xml:space="preserve"> </w:t>
      </w:r>
      <w:r>
        <w:t>lines, meters, and associated paraphernalia. The current utility rates are</w:t>
      </w:r>
      <w:r w:rsidR="00D35039">
        <w:t xml:space="preserve"> </w:t>
      </w:r>
      <w:r>
        <w:t>as follows:</w:t>
      </w:r>
    </w:p>
    <w:p w14:paraId="57A0374D" w14:textId="77777777" w:rsidR="00762F24" w:rsidRPr="00484893" w:rsidRDefault="00762F24" w:rsidP="00762F24">
      <w:pPr>
        <w:pStyle w:val="SOWParagraph"/>
      </w:pPr>
      <w:r w:rsidRPr="00484893">
        <w:t>Electric: $0.</w:t>
      </w:r>
      <w:r w:rsidR="00484893" w:rsidRPr="00484893">
        <w:t>12272</w:t>
      </w:r>
      <w:r w:rsidRPr="00484893">
        <w:t xml:space="preserve"> per KWh</w:t>
      </w:r>
    </w:p>
    <w:p w14:paraId="38766BA0" w14:textId="77777777" w:rsidR="00762F24" w:rsidRPr="00484893" w:rsidRDefault="00762F24" w:rsidP="00762F24">
      <w:pPr>
        <w:pStyle w:val="SOWParagraph"/>
      </w:pPr>
      <w:r w:rsidRPr="00484893">
        <w:t>Natural Gas: $</w:t>
      </w:r>
      <w:r w:rsidR="00484893" w:rsidRPr="00484893">
        <w:t>6.57413</w:t>
      </w:r>
      <w:r w:rsidRPr="00484893">
        <w:t xml:space="preserve"> MCF</w:t>
      </w:r>
    </w:p>
    <w:p w14:paraId="320BAD1F" w14:textId="77777777" w:rsidR="00762F24" w:rsidRPr="00484893" w:rsidRDefault="00762F24" w:rsidP="00762F24">
      <w:pPr>
        <w:pStyle w:val="SOWParagraph"/>
      </w:pPr>
      <w:r w:rsidRPr="00484893">
        <w:t>Sewer: $</w:t>
      </w:r>
      <w:r w:rsidR="00484893" w:rsidRPr="00484893">
        <w:t>8.30352</w:t>
      </w:r>
      <w:r w:rsidRPr="00484893">
        <w:t xml:space="preserve"> per kilo gallons</w:t>
      </w:r>
    </w:p>
    <w:p w14:paraId="04FD497E" w14:textId="77777777" w:rsidR="00762F24" w:rsidRPr="00484893" w:rsidRDefault="00762F24" w:rsidP="00762F24">
      <w:pPr>
        <w:pStyle w:val="SOWParagraph"/>
      </w:pPr>
      <w:r w:rsidRPr="00484893">
        <w:t>Water: $</w:t>
      </w:r>
      <w:r w:rsidR="00484893" w:rsidRPr="00484893">
        <w:t>3.24276</w:t>
      </w:r>
      <w:r w:rsidRPr="00484893">
        <w:t xml:space="preserve"> per kilo gallons</w:t>
      </w:r>
    </w:p>
    <w:p w14:paraId="03F92857" w14:textId="77777777" w:rsidR="00D35039" w:rsidRDefault="00D35039" w:rsidP="00762F24">
      <w:pPr>
        <w:pStyle w:val="SOWParagraph"/>
      </w:pPr>
    </w:p>
    <w:p w14:paraId="088D429D" w14:textId="77777777" w:rsidR="00F65DE2" w:rsidRPr="00D868A6" w:rsidRDefault="00F65DE2" w:rsidP="00762F24">
      <w:pPr>
        <w:pStyle w:val="SOWParagraph"/>
        <w:rPr>
          <w:color w:val="FF0000"/>
        </w:rPr>
      </w:pPr>
      <w:r>
        <w:t>The contractor is</w:t>
      </w:r>
      <w:r w:rsidR="00762F24">
        <w:t xml:space="preserve"> </w:t>
      </w:r>
      <w:r>
        <w:t>to pay all costs incurred in connecting, converting, and transferring</w:t>
      </w:r>
      <w:r w:rsidR="00762F24">
        <w:t xml:space="preserve"> </w:t>
      </w:r>
      <w:r>
        <w:t>the utilities to the work. The contractor is also to make connections,</w:t>
      </w:r>
      <w:r w:rsidR="00762F24">
        <w:t xml:space="preserve"> </w:t>
      </w:r>
      <w:r>
        <w:t>including meters; and providing transformers; and</w:t>
      </w:r>
      <w:r w:rsidR="00762F24">
        <w:t xml:space="preserve"> </w:t>
      </w:r>
      <w:r>
        <w:t>make disconnections.</w:t>
      </w:r>
      <w:r w:rsidR="00D868A6">
        <w:t xml:space="preserve"> The water and sewer privatized utility agency, ASUS, will be responsible for making connections to existing domestic water lines for a fee. All domestic water and sewer lines installed, whether temporary or permanent, will have to be inspected or installed by ASUS.  </w:t>
      </w:r>
      <w:r w:rsidR="009B643B">
        <w:t>ASUS d</w:t>
      </w:r>
      <w:r w:rsidR="00D868A6" w:rsidRPr="009B643B">
        <w:t xml:space="preserve">emarcation </w:t>
      </w:r>
      <w:r w:rsidR="009B643B" w:rsidRPr="009B643B">
        <w:t xml:space="preserve">point is 5 feet outside elevated utility building 9284. </w:t>
      </w:r>
    </w:p>
    <w:p w14:paraId="2E412C92" w14:textId="77777777" w:rsidR="00762F24" w:rsidRDefault="00762F24" w:rsidP="00762F24">
      <w:pPr>
        <w:pStyle w:val="SOWParagraph"/>
      </w:pPr>
    </w:p>
    <w:p w14:paraId="1557A4F9" w14:textId="77777777" w:rsidR="00762F24" w:rsidRDefault="00762F24" w:rsidP="00762F24">
      <w:pPr>
        <w:pStyle w:val="SOWParagraph"/>
      </w:pPr>
      <w:r>
        <w:t>At the Contractors expense and in a manner satisfactory to the Contracting Officer, provide and maintain necessary temporary connections, distribution lines, and meters and meter bases required to measure the amount of each utility used for the purpose of determining charges. Notify the Contracting Officer, in writing, 5 working days before final electrical connection is desired so that a utilities contract can be established. The contractor is to obtain Government approval of their temporary wiring installation prior to the final hot connection.</w:t>
      </w:r>
    </w:p>
    <w:p w14:paraId="5E60A651" w14:textId="77777777" w:rsidR="00762F24" w:rsidRDefault="00762F24" w:rsidP="00762F24">
      <w:pPr>
        <w:pStyle w:val="SOWParagraph"/>
      </w:pPr>
    </w:p>
    <w:p w14:paraId="3CD964AA" w14:textId="77777777" w:rsidR="00762F24" w:rsidRDefault="00762F24" w:rsidP="00762F24">
      <w:pPr>
        <w:pStyle w:val="SOWParagraph"/>
      </w:pPr>
      <w:r>
        <w:t>Before completion of the work and final acceptance of the work by the Government, notify the Contracting Officer, in writing, 5 working days before termination is desired. The Government will take a final meter reading</w:t>
      </w:r>
      <w:r w:rsidR="00D868A6">
        <w:t>. The Contractor will be responsible to</w:t>
      </w:r>
      <w:r>
        <w:t xml:space="preserve"> </w:t>
      </w:r>
      <w:r>
        <w:lastRenderedPageBreak/>
        <w:t>disconnect service, and remove the meters. Then remove all the temporary distribution lines, meter bases, and associated paraphernalia. Pay all outstanding utility bills before final acceptance of the work by the</w:t>
      </w:r>
    </w:p>
    <w:p w14:paraId="7AF7B588" w14:textId="77777777" w:rsidR="00762F24" w:rsidRDefault="00762F24" w:rsidP="00762F24">
      <w:pPr>
        <w:pStyle w:val="SOWParagraph"/>
      </w:pPr>
      <w:r>
        <w:t>Government.</w:t>
      </w:r>
    </w:p>
    <w:p w14:paraId="0BFC1234" w14:textId="77777777" w:rsidR="00762F24" w:rsidRPr="00762F24" w:rsidRDefault="00762F24" w:rsidP="00762F24">
      <w:pPr>
        <w:pStyle w:val="SOWParagraph"/>
      </w:pPr>
    </w:p>
    <w:p w14:paraId="605308AA" w14:textId="77777777" w:rsidR="00762F24" w:rsidRDefault="00762F24" w:rsidP="00762F24">
      <w:pPr>
        <w:pStyle w:val="SOWParagraph"/>
      </w:pPr>
    </w:p>
    <w:p w14:paraId="6C804F4D" w14:textId="77777777" w:rsidR="00762F24" w:rsidRPr="00762F24" w:rsidRDefault="00762F24" w:rsidP="00762F24">
      <w:pPr>
        <w:pStyle w:val="SOWParagraph"/>
      </w:pPr>
      <w:r>
        <w:t>Provide temporary fire protection equipment for the protection of personnel and property during construction. Remove debris and flammable materials daily to minimize potential hazards.</w:t>
      </w:r>
    </w:p>
    <w:p w14:paraId="116F2C3F" w14:textId="77777777" w:rsidR="009F1CF5" w:rsidRDefault="009F1CF5" w:rsidP="009F1CF5">
      <w:pPr>
        <w:pStyle w:val="Heading1"/>
        <w:numPr>
          <w:ilvl w:val="0"/>
          <w:numId w:val="2"/>
        </w:numPr>
      </w:pPr>
      <w:bookmarkStart w:id="12" w:name="_Toc66703511"/>
      <w:r>
        <w:t>Hours of Work</w:t>
      </w:r>
      <w:bookmarkEnd w:id="12"/>
    </w:p>
    <w:p w14:paraId="71011652" w14:textId="77777777" w:rsidR="00E92D90" w:rsidRPr="00E92D90" w:rsidRDefault="009B643B" w:rsidP="00E92D90">
      <w:pPr>
        <w:pStyle w:val="SOWParagraph"/>
      </w:pPr>
      <w:r>
        <w:t>Refer to Specification 01 14 00.</w:t>
      </w:r>
    </w:p>
    <w:p w14:paraId="51C232C9" w14:textId="77777777" w:rsidR="009F1CF5" w:rsidRDefault="009F1CF5" w:rsidP="009F1CF5">
      <w:pPr>
        <w:pStyle w:val="Heading1"/>
        <w:numPr>
          <w:ilvl w:val="0"/>
          <w:numId w:val="2"/>
        </w:numPr>
      </w:pPr>
      <w:bookmarkStart w:id="13" w:name="_Toc66703512"/>
      <w:r>
        <w:t>Warranty</w:t>
      </w:r>
      <w:bookmarkEnd w:id="13"/>
    </w:p>
    <w:p w14:paraId="2223318C" w14:textId="77777777" w:rsidR="00F65DE2" w:rsidRPr="00F65DE2" w:rsidRDefault="00F65DE2" w:rsidP="00F65DE2">
      <w:pPr>
        <w:pStyle w:val="SOWParagraph"/>
      </w:pPr>
      <w:r>
        <w:t xml:space="preserve">Refer to Specification 01 78 00. </w:t>
      </w:r>
    </w:p>
    <w:p w14:paraId="3B308A3F" w14:textId="77777777" w:rsidR="009F1CF5" w:rsidRDefault="009F1CF5" w:rsidP="009F1CF5">
      <w:pPr>
        <w:pStyle w:val="Heading1"/>
        <w:numPr>
          <w:ilvl w:val="0"/>
          <w:numId w:val="2"/>
        </w:numPr>
      </w:pPr>
      <w:bookmarkStart w:id="14" w:name="_Toc66703513"/>
      <w:r>
        <w:t>Closeout</w:t>
      </w:r>
      <w:bookmarkEnd w:id="14"/>
    </w:p>
    <w:p w14:paraId="50346A2D" w14:textId="77777777" w:rsidR="00F65DE2" w:rsidRPr="00F65DE2" w:rsidRDefault="00F65DE2" w:rsidP="00F65DE2">
      <w:pPr>
        <w:pStyle w:val="SOWParagraph"/>
      </w:pPr>
      <w:r>
        <w:t>Refer to Specification 01 78 00.</w:t>
      </w:r>
    </w:p>
    <w:p w14:paraId="05DA31A5" w14:textId="77777777" w:rsidR="009F1CF5" w:rsidRDefault="009F1CF5" w:rsidP="009F1CF5">
      <w:pPr>
        <w:pStyle w:val="Heading1"/>
        <w:numPr>
          <w:ilvl w:val="0"/>
          <w:numId w:val="2"/>
        </w:numPr>
      </w:pPr>
      <w:bookmarkStart w:id="15" w:name="_Toc66703514"/>
      <w:r>
        <w:t>Additional Enclosures</w:t>
      </w:r>
      <w:bookmarkEnd w:id="15"/>
    </w:p>
    <w:p w14:paraId="1EAF2CA2" w14:textId="77777777" w:rsidR="00135898" w:rsidRDefault="00135898" w:rsidP="00135898">
      <w:pPr>
        <w:pStyle w:val="SOWParagraph"/>
        <w:numPr>
          <w:ilvl w:val="0"/>
          <w:numId w:val="39"/>
        </w:numPr>
      </w:pPr>
      <w:r>
        <w:t>Request for Information Form</w:t>
      </w:r>
    </w:p>
    <w:p w14:paraId="4AB58747" w14:textId="77777777" w:rsidR="00D868A6" w:rsidRDefault="00D868A6" w:rsidP="000079D3">
      <w:pPr>
        <w:pStyle w:val="ListParagraph"/>
        <w:numPr>
          <w:ilvl w:val="0"/>
          <w:numId w:val="39"/>
        </w:numPr>
      </w:pPr>
      <w:r>
        <w:t>CHELCO Specifications</w:t>
      </w:r>
    </w:p>
    <w:p w14:paraId="3113906D" w14:textId="77777777" w:rsidR="00D868A6" w:rsidRDefault="00D868A6" w:rsidP="000079D3">
      <w:pPr>
        <w:pStyle w:val="ListParagraph"/>
        <w:numPr>
          <w:ilvl w:val="0"/>
          <w:numId w:val="39"/>
        </w:numPr>
      </w:pPr>
      <w:r>
        <w:t>Eglin Fire Dept</w:t>
      </w:r>
      <w:r w:rsidR="009B643B">
        <w:t>.</w:t>
      </w:r>
      <w:r>
        <w:t xml:space="preserve"> Specifications</w:t>
      </w:r>
    </w:p>
    <w:p w14:paraId="56987313" w14:textId="77777777" w:rsidR="00D868A6" w:rsidRDefault="00D868A6" w:rsidP="000079D3">
      <w:pPr>
        <w:pStyle w:val="ListParagraph"/>
        <w:numPr>
          <w:ilvl w:val="0"/>
          <w:numId w:val="39"/>
        </w:numPr>
      </w:pPr>
      <w:r>
        <w:t>Eglin Fire Alarm Specifications</w:t>
      </w:r>
    </w:p>
    <w:p w14:paraId="318372B3" w14:textId="77777777" w:rsidR="00D868A6" w:rsidRDefault="00D868A6" w:rsidP="000079D3">
      <w:pPr>
        <w:pStyle w:val="ListParagraph"/>
        <w:numPr>
          <w:ilvl w:val="0"/>
          <w:numId w:val="39"/>
        </w:numPr>
      </w:pPr>
      <w:r>
        <w:t>Eglin As-Built Requirements</w:t>
      </w:r>
    </w:p>
    <w:p w14:paraId="0AC20EBB" w14:textId="6294067C" w:rsidR="00830737" w:rsidRDefault="00F87E8D" w:rsidP="00830737">
      <w:pPr>
        <w:pStyle w:val="ListParagraph"/>
        <w:numPr>
          <w:ilvl w:val="0"/>
          <w:numId w:val="39"/>
        </w:numPr>
      </w:pPr>
      <w:r>
        <w:t>Eglin Wire Specs (new)</w:t>
      </w:r>
    </w:p>
    <w:p w14:paraId="53D78755" w14:textId="77777777" w:rsidR="00F87E8D" w:rsidRPr="000079D3" w:rsidRDefault="00F87E8D" w:rsidP="00F87E8D">
      <w:pPr>
        <w:pStyle w:val="ListParagraph"/>
        <w:ind w:left="1080"/>
      </w:pPr>
    </w:p>
    <w:p w14:paraId="0E6F9941" w14:textId="77777777" w:rsidR="00607B7E" w:rsidRPr="00607B7E" w:rsidRDefault="00607B7E" w:rsidP="00607B7E"/>
    <w:p w14:paraId="6A571021" w14:textId="77777777" w:rsidR="00694717" w:rsidRPr="00694717" w:rsidRDefault="00694717" w:rsidP="00694717">
      <w:pPr>
        <w:pStyle w:val="Heading2"/>
      </w:pPr>
    </w:p>
    <w:p w14:paraId="2912A0B3" w14:textId="77777777" w:rsidR="00112228" w:rsidRPr="005A1FBA" w:rsidRDefault="00112228" w:rsidP="00112228"/>
    <w:p w14:paraId="4AABBD48" w14:textId="77777777" w:rsidR="005A1FBA" w:rsidRPr="005A1FBA" w:rsidRDefault="005A1FBA" w:rsidP="005A1FBA"/>
    <w:sectPr w:rsidR="005A1FBA" w:rsidRPr="005A1FBA" w:rsidSect="00DA610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46F53" w14:textId="77777777" w:rsidR="00382A26" w:rsidRDefault="00382A26" w:rsidP="00CD367F">
      <w:pPr>
        <w:spacing w:after="0" w:line="240" w:lineRule="auto"/>
      </w:pPr>
      <w:r>
        <w:separator/>
      </w:r>
    </w:p>
  </w:endnote>
  <w:endnote w:type="continuationSeparator" w:id="0">
    <w:p w14:paraId="7F2D65CC" w14:textId="77777777" w:rsidR="00382A26" w:rsidRDefault="00382A26" w:rsidP="00CD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60329"/>
      <w:docPartObj>
        <w:docPartGallery w:val="Page Numbers (Bottom of Page)"/>
        <w:docPartUnique/>
      </w:docPartObj>
    </w:sdtPr>
    <w:sdtEndPr>
      <w:rPr>
        <w:rFonts w:cs="Times New Roman"/>
        <w:noProof/>
      </w:rPr>
    </w:sdtEndPr>
    <w:sdtContent>
      <w:p w14:paraId="52666695" w14:textId="4922841A" w:rsidR="00951B86" w:rsidRPr="00CD367F" w:rsidRDefault="00951B86">
        <w:pPr>
          <w:pStyle w:val="Footer"/>
          <w:jc w:val="center"/>
          <w:rPr>
            <w:rFonts w:cs="Times New Roman"/>
          </w:rPr>
        </w:pPr>
        <w:r w:rsidRPr="00CD367F">
          <w:rPr>
            <w:rFonts w:cs="Times New Roman"/>
          </w:rPr>
          <w:fldChar w:fldCharType="begin"/>
        </w:r>
        <w:r w:rsidRPr="00CD367F">
          <w:rPr>
            <w:rFonts w:cs="Times New Roman"/>
          </w:rPr>
          <w:instrText xml:space="preserve"> PAGE   \* MERGEFORMAT </w:instrText>
        </w:r>
        <w:r w:rsidRPr="00CD367F">
          <w:rPr>
            <w:rFonts w:cs="Times New Roman"/>
          </w:rPr>
          <w:fldChar w:fldCharType="separate"/>
        </w:r>
        <w:r w:rsidR="00A7583B">
          <w:rPr>
            <w:rFonts w:cs="Times New Roman"/>
            <w:noProof/>
          </w:rPr>
          <w:t>6</w:t>
        </w:r>
        <w:r w:rsidRPr="00CD367F">
          <w:rPr>
            <w:rFonts w:cs="Times New Roman"/>
            <w:noProof/>
          </w:rPr>
          <w:fldChar w:fldCharType="end"/>
        </w:r>
      </w:p>
    </w:sdtContent>
  </w:sdt>
  <w:p w14:paraId="3D7A4735" w14:textId="77777777" w:rsidR="00951B86" w:rsidRDefault="0095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B09B" w14:textId="77777777" w:rsidR="00382A26" w:rsidRDefault="00382A26" w:rsidP="00CD367F">
      <w:pPr>
        <w:spacing w:after="0" w:line="240" w:lineRule="auto"/>
      </w:pPr>
      <w:r>
        <w:separator/>
      </w:r>
    </w:p>
  </w:footnote>
  <w:footnote w:type="continuationSeparator" w:id="0">
    <w:p w14:paraId="55FA981F" w14:textId="77777777" w:rsidR="00382A26" w:rsidRDefault="00382A26" w:rsidP="00CD3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680"/>
      <w:gridCol w:w="4680"/>
    </w:tblGrid>
    <w:tr w:rsidR="00406F94" w14:paraId="1835889E" w14:textId="77777777" w:rsidTr="00406F94">
      <w:tc>
        <w:tcPr>
          <w:tcW w:w="4680" w:type="dxa"/>
          <w:tcBorders>
            <w:top w:val="nil"/>
            <w:left w:val="nil"/>
            <w:bottom w:val="nil"/>
            <w:right w:val="nil"/>
          </w:tcBorders>
        </w:tcPr>
        <w:p w14:paraId="770D6EA8" w14:textId="77777777" w:rsidR="00406F94" w:rsidRPr="004443D0" w:rsidRDefault="00406F94" w:rsidP="00406F94">
          <w:pPr>
            <w:pStyle w:val="Header"/>
            <w:rPr>
              <w:rFonts w:cs="Times New Roman"/>
            </w:rPr>
          </w:pPr>
          <w:r w:rsidRPr="002E79C7">
            <w:rPr>
              <w:rFonts w:cs="Times New Roman"/>
            </w:rPr>
            <w:t>Renovate Squadron Operations Area JSF Hangar B1412</w:t>
          </w:r>
        </w:p>
      </w:tc>
      <w:tc>
        <w:tcPr>
          <w:tcW w:w="4680" w:type="dxa"/>
          <w:tcBorders>
            <w:top w:val="nil"/>
            <w:left w:val="nil"/>
            <w:bottom w:val="nil"/>
            <w:right w:val="nil"/>
          </w:tcBorders>
        </w:tcPr>
        <w:p w14:paraId="595B2209" w14:textId="77777777" w:rsidR="00406F94" w:rsidRPr="004443D0" w:rsidRDefault="00406F94" w:rsidP="00406F94">
          <w:pPr>
            <w:pStyle w:val="Header"/>
            <w:jc w:val="right"/>
            <w:rPr>
              <w:rFonts w:cs="Times New Roman"/>
            </w:rPr>
          </w:pPr>
          <w:r w:rsidRPr="004443D0">
            <w:rPr>
              <w:rFonts w:cs="Times New Roman"/>
            </w:rPr>
            <w:t xml:space="preserve">FTFA </w:t>
          </w:r>
          <w:r>
            <w:rPr>
              <w:rFonts w:cs="Times New Roman"/>
            </w:rPr>
            <w:t>20-BC73, TRIRIGA ID: 1038683</w:t>
          </w:r>
        </w:p>
      </w:tc>
    </w:tr>
    <w:tr w:rsidR="00951B86" w14:paraId="7DA810FA" w14:textId="77777777" w:rsidTr="00406F94">
      <w:tc>
        <w:tcPr>
          <w:tcW w:w="4680" w:type="dxa"/>
          <w:tcBorders>
            <w:top w:val="nil"/>
            <w:left w:val="nil"/>
            <w:bottom w:val="nil"/>
            <w:right w:val="nil"/>
          </w:tcBorders>
        </w:tcPr>
        <w:p w14:paraId="58C6C49A" w14:textId="77777777" w:rsidR="00951B86" w:rsidRPr="004443D0" w:rsidRDefault="00951B86" w:rsidP="00B94D40">
          <w:pPr>
            <w:pStyle w:val="Header"/>
            <w:rPr>
              <w:rFonts w:cs="Times New Roman"/>
            </w:rPr>
          </w:pPr>
          <w:r>
            <w:rPr>
              <w:rFonts w:cs="Times New Roman"/>
            </w:rPr>
            <w:t>Eglin AFB</w:t>
          </w:r>
          <w:r w:rsidRPr="004443D0">
            <w:rPr>
              <w:rFonts w:cs="Times New Roman"/>
            </w:rPr>
            <w:t>, FL</w:t>
          </w:r>
        </w:p>
      </w:tc>
      <w:tc>
        <w:tcPr>
          <w:tcW w:w="4680" w:type="dxa"/>
          <w:tcBorders>
            <w:top w:val="nil"/>
            <w:left w:val="nil"/>
            <w:bottom w:val="nil"/>
            <w:right w:val="nil"/>
          </w:tcBorders>
        </w:tcPr>
        <w:p w14:paraId="5C71326B" w14:textId="77777777" w:rsidR="00951B86" w:rsidRPr="004443D0" w:rsidRDefault="00951B86" w:rsidP="004443D0">
          <w:pPr>
            <w:pStyle w:val="Header"/>
            <w:jc w:val="right"/>
            <w:rPr>
              <w:rFonts w:cs="Times New Roman"/>
            </w:rPr>
          </w:pPr>
          <w:r w:rsidRPr="004443D0">
            <w:rPr>
              <w:rFonts w:cs="Times New Roman"/>
            </w:rPr>
            <w:t>Revision 0</w:t>
          </w:r>
          <w:r w:rsidR="00406F94">
            <w:rPr>
              <w:rFonts w:cs="Times New Roman"/>
            </w:rPr>
            <w:t>: 05/02/2021</w:t>
          </w:r>
        </w:p>
      </w:tc>
    </w:tr>
  </w:tbl>
  <w:p w14:paraId="33A04C6B" w14:textId="77777777" w:rsidR="00951B86" w:rsidRDefault="0095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512"/>
    <w:multiLevelType w:val="hybridMultilevel"/>
    <w:tmpl w:val="05D2C430"/>
    <w:lvl w:ilvl="0" w:tplc="7BFE449E">
      <w:start w:val="1"/>
      <w:numFmt w:val="decimal"/>
      <w:lvlText w:val="2.%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111086E"/>
    <w:multiLevelType w:val="hybridMultilevel"/>
    <w:tmpl w:val="B61CC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C85C12"/>
    <w:multiLevelType w:val="hybridMultilevel"/>
    <w:tmpl w:val="FC640C90"/>
    <w:lvl w:ilvl="0" w:tplc="A4D89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66151B"/>
    <w:multiLevelType w:val="hybridMultilevel"/>
    <w:tmpl w:val="16C4BA48"/>
    <w:lvl w:ilvl="0" w:tplc="4FB65F8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A6B0C"/>
    <w:multiLevelType w:val="hybridMultilevel"/>
    <w:tmpl w:val="712ABF94"/>
    <w:lvl w:ilvl="0" w:tplc="88C8C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384E47"/>
    <w:multiLevelType w:val="hybridMultilevel"/>
    <w:tmpl w:val="BF98C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1F7EB3"/>
    <w:multiLevelType w:val="hybridMultilevel"/>
    <w:tmpl w:val="90EAFCBE"/>
    <w:lvl w:ilvl="0" w:tplc="29A29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9265D2"/>
    <w:multiLevelType w:val="hybridMultilevel"/>
    <w:tmpl w:val="07F25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4402E3"/>
    <w:multiLevelType w:val="hybridMultilevel"/>
    <w:tmpl w:val="F6107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B5444C"/>
    <w:multiLevelType w:val="hybridMultilevel"/>
    <w:tmpl w:val="6F9A0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94CB8"/>
    <w:multiLevelType w:val="hybridMultilevel"/>
    <w:tmpl w:val="8AEAD4E6"/>
    <w:lvl w:ilvl="0" w:tplc="357A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820F9"/>
    <w:multiLevelType w:val="hybridMultilevel"/>
    <w:tmpl w:val="5636DF26"/>
    <w:lvl w:ilvl="0" w:tplc="61963C22">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C81360"/>
    <w:multiLevelType w:val="hybridMultilevel"/>
    <w:tmpl w:val="D3166CEA"/>
    <w:lvl w:ilvl="0" w:tplc="04090019">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23C0BD5"/>
    <w:multiLevelType w:val="hybridMultilevel"/>
    <w:tmpl w:val="ABECFDF0"/>
    <w:lvl w:ilvl="0" w:tplc="B05A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18667E"/>
    <w:multiLevelType w:val="hybridMultilevel"/>
    <w:tmpl w:val="84227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64484"/>
    <w:multiLevelType w:val="hybridMultilevel"/>
    <w:tmpl w:val="F184D8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62517F"/>
    <w:multiLevelType w:val="hybridMultilevel"/>
    <w:tmpl w:val="BD284D78"/>
    <w:lvl w:ilvl="0" w:tplc="35BAAF32">
      <w:start w:val="1"/>
      <w:numFmt w:val="decimal"/>
      <w:lvlText w:val="3.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681A35"/>
    <w:multiLevelType w:val="hybridMultilevel"/>
    <w:tmpl w:val="492A438C"/>
    <w:lvl w:ilvl="0" w:tplc="2376E4C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68A3F20"/>
    <w:multiLevelType w:val="hybridMultilevel"/>
    <w:tmpl w:val="ECF4FFC8"/>
    <w:lvl w:ilvl="0" w:tplc="29645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D13BEE"/>
    <w:multiLevelType w:val="hybridMultilevel"/>
    <w:tmpl w:val="F1247410"/>
    <w:lvl w:ilvl="0" w:tplc="61963C22">
      <w:start w:val="1"/>
      <w:numFmt w:val="decimal"/>
      <w:lvlText w:val="1.%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310A02EB"/>
    <w:multiLevelType w:val="hybridMultilevel"/>
    <w:tmpl w:val="D486D096"/>
    <w:lvl w:ilvl="0" w:tplc="3E721B82">
      <w:start w:val="1"/>
      <w:numFmt w:val="decimal"/>
      <w:lvlText w:val="4.1.%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983591"/>
    <w:multiLevelType w:val="hybridMultilevel"/>
    <w:tmpl w:val="5D2CD066"/>
    <w:lvl w:ilvl="0" w:tplc="936E8B2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E727E5"/>
    <w:multiLevelType w:val="hybridMultilevel"/>
    <w:tmpl w:val="EAA8E058"/>
    <w:lvl w:ilvl="0" w:tplc="D08C3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AB5F11"/>
    <w:multiLevelType w:val="hybridMultilevel"/>
    <w:tmpl w:val="5E6012C6"/>
    <w:lvl w:ilvl="0" w:tplc="B97C542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B5108E"/>
    <w:multiLevelType w:val="hybridMultilevel"/>
    <w:tmpl w:val="43C8BAB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466A03C6"/>
    <w:multiLevelType w:val="hybridMultilevel"/>
    <w:tmpl w:val="2F8C788C"/>
    <w:lvl w:ilvl="0" w:tplc="7A848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1554AD"/>
    <w:multiLevelType w:val="multilevel"/>
    <w:tmpl w:val="EECA51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235828"/>
    <w:multiLevelType w:val="hybridMultilevel"/>
    <w:tmpl w:val="18E21326"/>
    <w:lvl w:ilvl="0" w:tplc="21BC9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A749C"/>
    <w:multiLevelType w:val="hybridMultilevel"/>
    <w:tmpl w:val="616CCCF6"/>
    <w:lvl w:ilvl="0" w:tplc="4F12F6FA">
      <w:start w:val="1"/>
      <w:numFmt w:val="decimal"/>
      <w:lvlText w:val="4.%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572A3516"/>
    <w:multiLevelType w:val="hybridMultilevel"/>
    <w:tmpl w:val="FA7E5D24"/>
    <w:lvl w:ilvl="0" w:tplc="EE5E3F4E">
      <w:start w:val="1"/>
      <w:numFmt w:val="decimal"/>
      <w:lvlText w:val="3.6.%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D71FB3"/>
    <w:multiLevelType w:val="hybridMultilevel"/>
    <w:tmpl w:val="0F92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8C74A1"/>
    <w:multiLevelType w:val="hybridMultilevel"/>
    <w:tmpl w:val="06949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3E274E"/>
    <w:multiLevelType w:val="hybridMultilevel"/>
    <w:tmpl w:val="A1F82474"/>
    <w:lvl w:ilvl="0" w:tplc="8E48E2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A36D1F"/>
    <w:multiLevelType w:val="multilevel"/>
    <w:tmpl w:val="FED622E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246666F"/>
    <w:multiLevelType w:val="hybridMultilevel"/>
    <w:tmpl w:val="0D1A0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A50B9"/>
    <w:multiLevelType w:val="hybridMultilevel"/>
    <w:tmpl w:val="1512CEE2"/>
    <w:lvl w:ilvl="0" w:tplc="A5D44818">
      <w:start w:val="1"/>
      <w:numFmt w:val="decimal"/>
      <w:lvlText w:val="3.%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38C4702"/>
    <w:multiLevelType w:val="hybridMultilevel"/>
    <w:tmpl w:val="3A2E742C"/>
    <w:lvl w:ilvl="0" w:tplc="34262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D05C9D"/>
    <w:multiLevelType w:val="hybridMultilevel"/>
    <w:tmpl w:val="CF801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3435C6"/>
    <w:multiLevelType w:val="hybridMultilevel"/>
    <w:tmpl w:val="76B20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F861D6"/>
    <w:multiLevelType w:val="hybridMultilevel"/>
    <w:tmpl w:val="7B6C8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2960B1"/>
    <w:multiLevelType w:val="hybridMultilevel"/>
    <w:tmpl w:val="75187D74"/>
    <w:lvl w:ilvl="0" w:tplc="C55AAFD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75476477"/>
    <w:multiLevelType w:val="hybridMultilevel"/>
    <w:tmpl w:val="54F838BC"/>
    <w:lvl w:ilvl="0" w:tplc="A5D44818">
      <w:start w:val="1"/>
      <w:numFmt w:val="decimal"/>
      <w:lvlText w:val="3.%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4"/>
  </w:num>
  <w:num w:numId="2">
    <w:abstractNumId w:val="26"/>
  </w:num>
  <w:num w:numId="3">
    <w:abstractNumId w:val="8"/>
  </w:num>
  <w:num w:numId="4">
    <w:abstractNumId w:val="30"/>
  </w:num>
  <w:num w:numId="5">
    <w:abstractNumId w:val="3"/>
  </w:num>
  <w:num w:numId="6">
    <w:abstractNumId w:val="10"/>
  </w:num>
  <w:num w:numId="7">
    <w:abstractNumId w:val="9"/>
  </w:num>
  <w:num w:numId="8">
    <w:abstractNumId w:val="34"/>
  </w:num>
  <w:num w:numId="9">
    <w:abstractNumId w:val="18"/>
  </w:num>
  <w:num w:numId="10">
    <w:abstractNumId w:val="11"/>
  </w:num>
  <w:num w:numId="11">
    <w:abstractNumId w:val="33"/>
  </w:num>
  <w:num w:numId="12">
    <w:abstractNumId w:val="17"/>
  </w:num>
  <w:num w:numId="13">
    <w:abstractNumId w:val="19"/>
  </w:num>
  <w:num w:numId="14">
    <w:abstractNumId w:val="41"/>
  </w:num>
  <w:num w:numId="15">
    <w:abstractNumId w:val="28"/>
  </w:num>
  <w:num w:numId="16">
    <w:abstractNumId w:val="20"/>
  </w:num>
  <w:num w:numId="17">
    <w:abstractNumId w:val="25"/>
  </w:num>
  <w:num w:numId="18">
    <w:abstractNumId w:val="27"/>
  </w:num>
  <w:num w:numId="19">
    <w:abstractNumId w:val="15"/>
  </w:num>
  <w:num w:numId="20">
    <w:abstractNumId w:val="31"/>
  </w:num>
  <w:num w:numId="21">
    <w:abstractNumId w:val="7"/>
  </w:num>
  <w:num w:numId="22">
    <w:abstractNumId w:val="40"/>
  </w:num>
  <w:num w:numId="23">
    <w:abstractNumId w:val="1"/>
  </w:num>
  <w:num w:numId="24">
    <w:abstractNumId w:val="12"/>
  </w:num>
  <w:num w:numId="25">
    <w:abstractNumId w:val="0"/>
  </w:num>
  <w:num w:numId="26">
    <w:abstractNumId w:val="37"/>
  </w:num>
  <w:num w:numId="27">
    <w:abstractNumId w:val="5"/>
  </w:num>
  <w:num w:numId="28">
    <w:abstractNumId w:val="24"/>
  </w:num>
  <w:num w:numId="29">
    <w:abstractNumId w:val="35"/>
  </w:num>
  <w:num w:numId="30">
    <w:abstractNumId w:val="13"/>
  </w:num>
  <w:num w:numId="31">
    <w:abstractNumId w:val="16"/>
  </w:num>
  <w:num w:numId="32">
    <w:abstractNumId w:val="2"/>
  </w:num>
  <w:num w:numId="33">
    <w:abstractNumId w:val="29"/>
  </w:num>
  <w:num w:numId="34">
    <w:abstractNumId w:val="23"/>
  </w:num>
  <w:num w:numId="35">
    <w:abstractNumId w:val="38"/>
  </w:num>
  <w:num w:numId="36">
    <w:abstractNumId w:val="39"/>
  </w:num>
  <w:num w:numId="37">
    <w:abstractNumId w:val="22"/>
  </w:num>
  <w:num w:numId="38">
    <w:abstractNumId w:val="6"/>
  </w:num>
  <w:num w:numId="39">
    <w:abstractNumId w:val="21"/>
  </w:num>
  <w:num w:numId="40">
    <w:abstractNumId w:val="36"/>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7F"/>
    <w:rsid w:val="000079D3"/>
    <w:rsid w:val="00044140"/>
    <w:rsid w:val="00071FEE"/>
    <w:rsid w:val="000763DD"/>
    <w:rsid w:val="00094E45"/>
    <w:rsid w:val="000A0703"/>
    <w:rsid w:val="000A4265"/>
    <w:rsid w:val="000E41C4"/>
    <w:rsid w:val="00112228"/>
    <w:rsid w:val="00112D80"/>
    <w:rsid w:val="0011549A"/>
    <w:rsid w:val="0013009C"/>
    <w:rsid w:val="00135898"/>
    <w:rsid w:val="001631EE"/>
    <w:rsid w:val="0017161E"/>
    <w:rsid w:val="00177782"/>
    <w:rsid w:val="00191A21"/>
    <w:rsid w:val="001A32C4"/>
    <w:rsid w:val="001B22EC"/>
    <w:rsid w:val="001B747E"/>
    <w:rsid w:val="001D4145"/>
    <w:rsid w:val="001E69FD"/>
    <w:rsid w:val="002257D0"/>
    <w:rsid w:val="00227498"/>
    <w:rsid w:val="00242F8C"/>
    <w:rsid w:val="002453F6"/>
    <w:rsid w:val="00246AF8"/>
    <w:rsid w:val="00247D6E"/>
    <w:rsid w:val="00266F5C"/>
    <w:rsid w:val="002A0C35"/>
    <w:rsid w:val="002C4345"/>
    <w:rsid w:val="002D606A"/>
    <w:rsid w:val="0030058B"/>
    <w:rsid w:val="0030390F"/>
    <w:rsid w:val="00316A8F"/>
    <w:rsid w:val="003215B9"/>
    <w:rsid w:val="00333A8A"/>
    <w:rsid w:val="0034026D"/>
    <w:rsid w:val="0036484F"/>
    <w:rsid w:val="003659D4"/>
    <w:rsid w:val="00365DC3"/>
    <w:rsid w:val="00382A26"/>
    <w:rsid w:val="003975B3"/>
    <w:rsid w:val="003B4DFC"/>
    <w:rsid w:val="003D5A62"/>
    <w:rsid w:val="003E4B81"/>
    <w:rsid w:val="00406F94"/>
    <w:rsid w:val="00431EEA"/>
    <w:rsid w:val="004327E4"/>
    <w:rsid w:val="004443D0"/>
    <w:rsid w:val="004471ED"/>
    <w:rsid w:val="00484893"/>
    <w:rsid w:val="004858B9"/>
    <w:rsid w:val="004C15E4"/>
    <w:rsid w:val="004E5E2F"/>
    <w:rsid w:val="004F6FA2"/>
    <w:rsid w:val="00516BC1"/>
    <w:rsid w:val="00524330"/>
    <w:rsid w:val="0054400E"/>
    <w:rsid w:val="00593E7C"/>
    <w:rsid w:val="005A1FBA"/>
    <w:rsid w:val="005A5C14"/>
    <w:rsid w:val="005A7D9D"/>
    <w:rsid w:val="005C41C3"/>
    <w:rsid w:val="005F75CD"/>
    <w:rsid w:val="00607B7E"/>
    <w:rsid w:val="006226ED"/>
    <w:rsid w:val="00627B91"/>
    <w:rsid w:val="006414C3"/>
    <w:rsid w:val="00654EEA"/>
    <w:rsid w:val="00671B62"/>
    <w:rsid w:val="00694717"/>
    <w:rsid w:val="006A340C"/>
    <w:rsid w:val="006D0614"/>
    <w:rsid w:val="006E6DAF"/>
    <w:rsid w:val="006F7D0E"/>
    <w:rsid w:val="007008CE"/>
    <w:rsid w:val="00711724"/>
    <w:rsid w:val="007170D6"/>
    <w:rsid w:val="00751B28"/>
    <w:rsid w:val="00762F24"/>
    <w:rsid w:val="00764F74"/>
    <w:rsid w:val="00783CA6"/>
    <w:rsid w:val="007978A8"/>
    <w:rsid w:val="007A4194"/>
    <w:rsid w:val="007C0728"/>
    <w:rsid w:val="007D3296"/>
    <w:rsid w:val="007E002D"/>
    <w:rsid w:val="007F0121"/>
    <w:rsid w:val="0081570F"/>
    <w:rsid w:val="00830737"/>
    <w:rsid w:val="00841D22"/>
    <w:rsid w:val="0086351D"/>
    <w:rsid w:val="008773F7"/>
    <w:rsid w:val="008A59CA"/>
    <w:rsid w:val="008A7D0D"/>
    <w:rsid w:val="008F317B"/>
    <w:rsid w:val="0090532A"/>
    <w:rsid w:val="00911B0B"/>
    <w:rsid w:val="00950C08"/>
    <w:rsid w:val="00951B86"/>
    <w:rsid w:val="0096559A"/>
    <w:rsid w:val="009B643B"/>
    <w:rsid w:val="009D6069"/>
    <w:rsid w:val="009E56BD"/>
    <w:rsid w:val="009F1CF5"/>
    <w:rsid w:val="00A17862"/>
    <w:rsid w:val="00A43399"/>
    <w:rsid w:val="00A7583B"/>
    <w:rsid w:val="00A81BC0"/>
    <w:rsid w:val="00A86175"/>
    <w:rsid w:val="00A86387"/>
    <w:rsid w:val="00AA1276"/>
    <w:rsid w:val="00AB619B"/>
    <w:rsid w:val="00AC0CEF"/>
    <w:rsid w:val="00AC1308"/>
    <w:rsid w:val="00AF34DE"/>
    <w:rsid w:val="00B07BD7"/>
    <w:rsid w:val="00B6491C"/>
    <w:rsid w:val="00B656F1"/>
    <w:rsid w:val="00B744D9"/>
    <w:rsid w:val="00B826D8"/>
    <w:rsid w:val="00B84530"/>
    <w:rsid w:val="00B848F5"/>
    <w:rsid w:val="00B900AA"/>
    <w:rsid w:val="00B94D40"/>
    <w:rsid w:val="00BA1B84"/>
    <w:rsid w:val="00BA5CFA"/>
    <w:rsid w:val="00BB2A47"/>
    <w:rsid w:val="00BC1227"/>
    <w:rsid w:val="00BC19AD"/>
    <w:rsid w:val="00BF370E"/>
    <w:rsid w:val="00C27B45"/>
    <w:rsid w:val="00C31BA5"/>
    <w:rsid w:val="00C430B8"/>
    <w:rsid w:val="00C51CFE"/>
    <w:rsid w:val="00C6656F"/>
    <w:rsid w:val="00C80BE3"/>
    <w:rsid w:val="00CA4C54"/>
    <w:rsid w:val="00CD367F"/>
    <w:rsid w:val="00CE7957"/>
    <w:rsid w:val="00D03734"/>
    <w:rsid w:val="00D25132"/>
    <w:rsid w:val="00D35039"/>
    <w:rsid w:val="00D546AB"/>
    <w:rsid w:val="00D566F6"/>
    <w:rsid w:val="00D679C6"/>
    <w:rsid w:val="00D868A6"/>
    <w:rsid w:val="00D90485"/>
    <w:rsid w:val="00D92631"/>
    <w:rsid w:val="00DA610A"/>
    <w:rsid w:val="00DB655E"/>
    <w:rsid w:val="00E21713"/>
    <w:rsid w:val="00E77B32"/>
    <w:rsid w:val="00E840C0"/>
    <w:rsid w:val="00E92D90"/>
    <w:rsid w:val="00E9792B"/>
    <w:rsid w:val="00EC120A"/>
    <w:rsid w:val="00ED3007"/>
    <w:rsid w:val="00ED56AB"/>
    <w:rsid w:val="00EE062B"/>
    <w:rsid w:val="00F323A6"/>
    <w:rsid w:val="00F36BC2"/>
    <w:rsid w:val="00F63B62"/>
    <w:rsid w:val="00F65DE2"/>
    <w:rsid w:val="00F87451"/>
    <w:rsid w:val="00F87E8D"/>
    <w:rsid w:val="00FB2AEE"/>
    <w:rsid w:val="00FC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3CF6D8"/>
  <w15:docId w15:val="{AEF6BBB2-AD36-4CF3-B3C5-F04F35F4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ED"/>
    <w:rPr>
      <w:rFonts w:ascii="Times New Roman" w:hAnsi="Times New Roman"/>
      <w:sz w:val="24"/>
    </w:rPr>
  </w:style>
  <w:style w:type="paragraph" w:styleId="Heading1">
    <w:name w:val="heading 1"/>
    <w:basedOn w:val="Normal"/>
    <w:next w:val="Normal"/>
    <w:link w:val="Heading1Char"/>
    <w:uiPriority w:val="9"/>
    <w:qFormat/>
    <w:rsid w:val="00112D80"/>
    <w:pPr>
      <w:keepNext/>
      <w:keepLines/>
      <w:spacing w:before="360" w:after="0"/>
      <w:outlineLvl w:val="0"/>
    </w:pPr>
    <w:rPr>
      <w:rFonts w:eastAsiaTheme="majorEastAsia" w:cstheme="majorBidi"/>
      <w:b/>
      <w:bCs/>
      <w:smallCaps/>
      <w:sz w:val="28"/>
      <w:szCs w:val="28"/>
    </w:rPr>
  </w:style>
  <w:style w:type="paragraph" w:styleId="Heading2">
    <w:name w:val="heading 2"/>
    <w:basedOn w:val="Normal"/>
    <w:next w:val="Normal"/>
    <w:link w:val="Heading2Char"/>
    <w:uiPriority w:val="9"/>
    <w:unhideWhenUsed/>
    <w:qFormat/>
    <w:rsid w:val="00524330"/>
    <w:pPr>
      <w:keepNext/>
      <w:keepLines/>
      <w:spacing w:before="240" w:after="120"/>
      <w:ind w:left="432"/>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F87451"/>
    <w:pPr>
      <w:keepNext/>
      <w:keepLines/>
      <w:spacing w:before="40" w:after="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ing"/>
    <w:link w:val="NoSpacingChar"/>
    <w:uiPriority w:val="1"/>
    <w:qFormat/>
    <w:rsid w:val="002257D0"/>
    <w:pPr>
      <w:spacing w:before="240" w:after="120" w:line="240" w:lineRule="auto"/>
      <w:ind w:left="432"/>
    </w:pPr>
    <w:rPr>
      <w:rFonts w:ascii="Times New Roman" w:eastAsiaTheme="minorEastAsia" w:hAnsi="Times New Roman"/>
      <w:sz w:val="24"/>
      <w:lang w:eastAsia="ja-JP"/>
    </w:rPr>
  </w:style>
  <w:style w:type="character" w:customStyle="1" w:styleId="NoSpacingChar">
    <w:name w:val="No Spacing Char"/>
    <w:aliases w:val="SubHeading Char"/>
    <w:basedOn w:val="DefaultParagraphFont"/>
    <w:link w:val="NoSpacing"/>
    <w:uiPriority w:val="1"/>
    <w:rsid w:val="002257D0"/>
    <w:rPr>
      <w:rFonts w:ascii="Times New Roman" w:eastAsiaTheme="minorEastAsia" w:hAnsi="Times New Roman"/>
      <w:sz w:val="24"/>
      <w:lang w:eastAsia="ja-JP"/>
    </w:rPr>
  </w:style>
  <w:style w:type="paragraph" w:styleId="BalloonText">
    <w:name w:val="Balloon Text"/>
    <w:basedOn w:val="Normal"/>
    <w:link w:val="BalloonTextChar"/>
    <w:uiPriority w:val="99"/>
    <w:semiHidden/>
    <w:unhideWhenUsed/>
    <w:rsid w:val="00CD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7F"/>
    <w:rPr>
      <w:rFonts w:ascii="Tahoma" w:hAnsi="Tahoma" w:cs="Tahoma"/>
      <w:sz w:val="16"/>
      <w:szCs w:val="16"/>
    </w:rPr>
  </w:style>
  <w:style w:type="paragraph" w:styleId="Header">
    <w:name w:val="header"/>
    <w:basedOn w:val="Normal"/>
    <w:link w:val="HeaderChar"/>
    <w:uiPriority w:val="99"/>
    <w:unhideWhenUsed/>
    <w:rsid w:val="00CD3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7F"/>
  </w:style>
  <w:style w:type="paragraph" w:styleId="Footer">
    <w:name w:val="footer"/>
    <w:basedOn w:val="Normal"/>
    <w:link w:val="FooterChar"/>
    <w:uiPriority w:val="99"/>
    <w:unhideWhenUsed/>
    <w:rsid w:val="00CD3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7F"/>
  </w:style>
  <w:style w:type="table" w:styleId="TableGrid">
    <w:name w:val="Table Grid"/>
    <w:basedOn w:val="TableNormal"/>
    <w:uiPriority w:val="59"/>
    <w:rsid w:val="00CD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2D80"/>
    <w:rPr>
      <w:rFonts w:ascii="Times New Roman" w:eastAsiaTheme="majorEastAsia" w:hAnsi="Times New Roman" w:cstheme="majorBidi"/>
      <w:b/>
      <w:bCs/>
      <w:smallCaps/>
      <w:sz w:val="28"/>
      <w:szCs w:val="28"/>
    </w:rPr>
  </w:style>
  <w:style w:type="paragraph" w:styleId="TOCHeading">
    <w:name w:val="TOC Heading"/>
    <w:basedOn w:val="Heading1"/>
    <w:next w:val="Normal"/>
    <w:uiPriority w:val="39"/>
    <w:unhideWhenUsed/>
    <w:qFormat/>
    <w:rsid w:val="00911B0B"/>
    <w:pPr>
      <w:outlineLvl w:val="9"/>
    </w:pPr>
    <w:rPr>
      <w:lang w:eastAsia="ja-JP"/>
    </w:rPr>
  </w:style>
  <w:style w:type="paragraph" w:styleId="TOC1">
    <w:name w:val="toc 1"/>
    <w:basedOn w:val="Normal"/>
    <w:next w:val="Normal"/>
    <w:autoRedefine/>
    <w:uiPriority w:val="39"/>
    <w:unhideWhenUsed/>
    <w:qFormat/>
    <w:rsid w:val="00AC0CEF"/>
    <w:pPr>
      <w:tabs>
        <w:tab w:val="left" w:pos="440"/>
        <w:tab w:val="right" w:leader="dot" w:pos="9350"/>
      </w:tabs>
      <w:spacing w:after="100"/>
    </w:pPr>
    <w:rPr>
      <w:smallCaps/>
    </w:rPr>
  </w:style>
  <w:style w:type="character" w:styleId="Hyperlink">
    <w:name w:val="Hyperlink"/>
    <w:basedOn w:val="DefaultParagraphFont"/>
    <w:uiPriority w:val="99"/>
    <w:unhideWhenUsed/>
    <w:rsid w:val="001B747E"/>
    <w:rPr>
      <w:color w:val="0000FF" w:themeColor="hyperlink"/>
      <w:u w:val="single"/>
    </w:rPr>
  </w:style>
  <w:style w:type="paragraph" w:styleId="TOC2">
    <w:name w:val="toc 2"/>
    <w:basedOn w:val="Normal"/>
    <w:next w:val="Normal"/>
    <w:autoRedefine/>
    <w:uiPriority w:val="39"/>
    <w:unhideWhenUsed/>
    <w:qFormat/>
    <w:rsid w:val="00C31BA5"/>
    <w:pPr>
      <w:spacing w:after="100"/>
      <w:ind w:left="220"/>
    </w:pPr>
    <w:rPr>
      <w:rFonts w:eastAsiaTheme="minorEastAsia"/>
      <w:lang w:eastAsia="ja-JP"/>
    </w:rPr>
  </w:style>
  <w:style w:type="paragraph" w:styleId="TOC3">
    <w:name w:val="toc 3"/>
    <w:basedOn w:val="Normal"/>
    <w:next w:val="Normal"/>
    <w:autoRedefine/>
    <w:uiPriority w:val="39"/>
    <w:unhideWhenUsed/>
    <w:qFormat/>
    <w:rsid w:val="001B747E"/>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24330"/>
    <w:rPr>
      <w:rFonts w:ascii="Times New Roman" w:eastAsiaTheme="majorEastAsia" w:hAnsi="Times New Roman" w:cstheme="majorBidi"/>
      <w:sz w:val="24"/>
      <w:szCs w:val="26"/>
    </w:rPr>
  </w:style>
  <w:style w:type="paragraph" w:styleId="PlainText">
    <w:name w:val="Plain Text"/>
    <w:basedOn w:val="Normal"/>
    <w:link w:val="PlainTextChar"/>
    <w:uiPriority w:val="99"/>
    <w:semiHidden/>
    <w:unhideWhenUsed/>
    <w:rsid w:val="00242F8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42F8C"/>
    <w:rPr>
      <w:rFonts w:ascii="Calibri" w:hAnsi="Calibri"/>
      <w:szCs w:val="21"/>
    </w:rPr>
  </w:style>
  <w:style w:type="paragraph" w:customStyle="1" w:styleId="SOWParagraph">
    <w:name w:val="SOW Paragraph"/>
    <w:basedOn w:val="Normal"/>
    <w:next w:val="Normal"/>
    <w:qFormat/>
    <w:rsid w:val="002257D0"/>
    <w:pPr>
      <w:spacing w:after="0" w:line="240" w:lineRule="auto"/>
      <w:ind w:left="720"/>
    </w:pPr>
  </w:style>
  <w:style w:type="paragraph" w:styleId="ListParagraph">
    <w:name w:val="List Paragraph"/>
    <w:basedOn w:val="Normal"/>
    <w:uiPriority w:val="34"/>
    <w:qFormat/>
    <w:rsid w:val="005A1FBA"/>
    <w:pPr>
      <w:ind w:left="720"/>
      <w:contextualSpacing/>
    </w:pPr>
  </w:style>
  <w:style w:type="character" w:customStyle="1" w:styleId="Heading3Char">
    <w:name w:val="Heading 3 Char"/>
    <w:basedOn w:val="DefaultParagraphFont"/>
    <w:link w:val="Heading3"/>
    <w:uiPriority w:val="9"/>
    <w:rsid w:val="00F87451"/>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81249">
      <w:bodyDiv w:val="1"/>
      <w:marLeft w:val="0"/>
      <w:marRight w:val="0"/>
      <w:marTop w:val="0"/>
      <w:marBottom w:val="0"/>
      <w:divBdr>
        <w:top w:val="none" w:sz="0" w:space="0" w:color="auto"/>
        <w:left w:val="none" w:sz="0" w:space="0" w:color="auto"/>
        <w:bottom w:val="none" w:sz="0" w:space="0" w:color="auto"/>
        <w:right w:val="none" w:sz="0" w:space="0" w:color="auto"/>
      </w:divBdr>
    </w:div>
    <w:div w:id="11820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226B-5112-4CCC-B85D-30ACACF9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MATTHEW T GS-12 USAF AFMC 96 CEG/CENMP</dc:creator>
  <cp:lastModifiedBy>TILLEY, RACHEL N GS-07 USAF AFMC AFTC/PZIO</cp:lastModifiedBy>
  <cp:revision>5</cp:revision>
  <cp:lastPrinted>2018-05-18T18:52:00Z</cp:lastPrinted>
  <dcterms:created xsi:type="dcterms:W3CDTF">2021-02-08T14:24:00Z</dcterms:created>
  <dcterms:modified xsi:type="dcterms:W3CDTF">2021-03-15T17:25:00Z</dcterms:modified>
</cp:coreProperties>
</file>